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73" w:rsidRPr="00381EC7" w:rsidRDefault="00D35E73" w:rsidP="00381EC7">
      <w:pPr>
        <w:pStyle w:val="StandardWeb"/>
        <w:spacing w:before="0" w:beforeAutospacing="0" w:after="0" w:afterAutospacing="0"/>
        <w:jc w:val="both"/>
        <w:rPr>
          <w:rFonts w:ascii="Bookman Old Style" w:hAnsi="Bookman Old Style" w:cs="Arial"/>
          <w:b/>
          <w:sz w:val="20"/>
        </w:rPr>
      </w:pPr>
      <w:r w:rsidRPr="00381EC7">
        <w:rPr>
          <w:rFonts w:ascii="Bookman Old Style" w:hAnsi="Bookman Old Style" w:cs="Arial"/>
          <w:b/>
          <w:sz w:val="20"/>
        </w:rPr>
        <w:t xml:space="preserve">ZAVOD ZA JAVNO ZDRAVSTVO DUBROVAČKO-NERETVANSKE ŽUPANIJE </w:t>
      </w:r>
    </w:p>
    <w:p w:rsidR="00D35E73" w:rsidRPr="00381EC7" w:rsidRDefault="00D35E73" w:rsidP="00381EC7">
      <w:pPr>
        <w:pStyle w:val="StandardWeb"/>
        <w:spacing w:before="0" w:beforeAutospacing="0" w:after="0" w:afterAutospacing="0"/>
        <w:jc w:val="both"/>
        <w:rPr>
          <w:rFonts w:ascii="Bookman Old Style" w:hAnsi="Bookman Old Style" w:cs="Arial"/>
          <w:b/>
          <w:sz w:val="20"/>
        </w:rPr>
      </w:pPr>
      <w:r w:rsidRPr="00381EC7">
        <w:rPr>
          <w:rFonts w:ascii="Bookman Old Style" w:hAnsi="Bookman Old Style" w:cs="Arial"/>
          <w:b/>
          <w:sz w:val="20"/>
        </w:rPr>
        <w:t xml:space="preserve">DR. ANTE ŠERCERA 4A, DUBROVNIK </w:t>
      </w:r>
    </w:p>
    <w:p w:rsidR="00D35E73" w:rsidRPr="00381EC7" w:rsidRDefault="00D35E73" w:rsidP="00381EC7">
      <w:pPr>
        <w:pStyle w:val="StandardWeb"/>
        <w:spacing w:before="0" w:beforeAutospacing="0" w:after="0" w:afterAutospacing="0"/>
        <w:jc w:val="both"/>
        <w:rPr>
          <w:rFonts w:ascii="Bookman Old Style" w:hAnsi="Bookman Old Style" w:cs="Arial"/>
          <w:b/>
          <w:sz w:val="20"/>
        </w:rPr>
      </w:pPr>
      <w:r w:rsidRPr="00381EC7">
        <w:rPr>
          <w:rFonts w:ascii="Bookman Old Style" w:hAnsi="Bookman Old Style" w:cs="Arial"/>
          <w:b/>
          <w:sz w:val="20"/>
        </w:rPr>
        <w:t>OIB: 55488649150</w:t>
      </w:r>
    </w:p>
    <w:p w:rsidR="00D35E73" w:rsidRPr="00381EC7" w:rsidRDefault="00D35E73" w:rsidP="00381EC7">
      <w:pPr>
        <w:pStyle w:val="StandardWeb"/>
        <w:spacing w:before="0" w:beforeAutospacing="0" w:after="0" w:afterAutospacing="0"/>
        <w:jc w:val="both"/>
        <w:rPr>
          <w:rFonts w:ascii="Bookman Old Style" w:hAnsi="Bookman Old Style" w:cs="Arial"/>
          <w:sz w:val="20"/>
        </w:rPr>
      </w:pPr>
    </w:p>
    <w:p w:rsidR="00D35E73" w:rsidRDefault="00D35E73" w:rsidP="00381EC7">
      <w:pPr>
        <w:pStyle w:val="StandardWeb"/>
        <w:spacing w:before="0" w:beforeAutospacing="0" w:after="0" w:afterAutospacing="0"/>
        <w:jc w:val="both"/>
        <w:rPr>
          <w:rFonts w:ascii="Bookman Old Style" w:hAnsi="Bookman Old Style" w:cs="Arial"/>
          <w:sz w:val="20"/>
        </w:rPr>
      </w:pPr>
      <w:r w:rsidRPr="00381EC7">
        <w:rPr>
          <w:rFonts w:ascii="Bookman Old Style" w:hAnsi="Bookman Old Style" w:cs="Arial"/>
          <w:sz w:val="20"/>
        </w:rPr>
        <w:t>Dubrovnik, 23.07.2025.</w:t>
      </w:r>
    </w:p>
    <w:p w:rsidR="00381EC7" w:rsidRPr="00381EC7" w:rsidRDefault="00381EC7" w:rsidP="00381EC7">
      <w:pPr>
        <w:pStyle w:val="StandardWeb"/>
        <w:spacing w:before="0" w:beforeAutospacing="0" w:after="0" w:afterAutospacing="0"/>
        <w:jc w:val="both"/>
        <w:rPr>
          <w:rFonts w:ascii="Bookman Old Style" w:hAnsi="Bookman Old Style" w:cs="Arial"/>
          <w:sz w:val="20"/>
        </w:rPr>
      </w:pPr>
    </w:p>
    <w:p w:rsidR="00381EC7" w:rsidRPr="00381EC7" w:rsidRDefault="00D35E73" w:rsidP="00381EC7">
      <w:pPr>
        <w:pStyle w:val="StandardWeb"/>
        <w:jc w:val="right"/>
        <w:rPr>
          <w:rFonts w:ascii="Bookman Old Style" w:hAnsi="Bookman Old Style" w:cs="Arial"/>
          <w:b/>
          <w:sz w:val="22"/>
        </w:rPr>
      </w:pPr>
      <w:r w:rsidRPr="00381EC7">
        <w:rPr>
          <w:rFonts w:ascii="Bookman Old Style" w:hAnsi="Bookman Old Style" w:cs="Arial"/>
          <w:sz w:val="20"/>
        </w:rPr>
        <w:t>DUBROVAČKO-NERETVANSKA ŽUPANIJA</w:t>
      </w:r>
    </w:p>
    <w:p w:rsidR="00381EC7" w:rsidRDefault="00381EC7" w:rsidP="00381EC7">
      <w:pPr>
        <w:pStyle w:val="StandardWeb"/>
        <w:jc w:val="center"/>
        <w:rPr>
          <w:rFonts w:ascii="Bookman Old Style" w:hAnsi="Bookman Old Style" w:cs="Arial"/>
          <w:b/>
          <w:sz w:val="22"/>
        </w:rPr>
      </w:pPr>
    </w:p>
    <w:p w:rsidR="00D35E73" w:rsidRPr="00381EC7" w:rsidRDefault="00D35E73" w:rsidP="00381EC7">
      <w:pPr>
        <w:pStyle w:val="StandardWeb"/>
        <w:jc w:val="center"/>
        <w:rPr>
          <w:rFonts w:ascii="Bookman Old Style" w:hAnsi="Bookman Old Style" w:cs="Arial"/>
          <w:b/>
          <w:sz w:val="22"/>
        </w:rPr>
      </w:pPr>
      <w:r w:rsidRPr="00381EC7">
        <w:rPr>
          <w:rFonts w:ascii="Bookman Old Style" w:hAnsi="Bookman Old Style" w:cs="Arial"/>
          <w:b/>
          <w:sz w:val="22"/>
        </w:rPr>
        <w:t xml:space="preserve">OBRAZLOŽENJE </w:t>
      </w:r>
      <w:r w:rsidR="00B610BB">
        <w:rPr>
          <w:rFonts w:ascii="Bookman Old Style" w:hAnsi="Bookman Old Style" w:cs="Arial"/>
          <w:b/>
          <w:sz w:val="22"/>
        </w:rPr>
        <w:t>IZVRŠENJA</w:t>
      </w:r>
      <w:r w:rsidRPr="00381EC7">
        <w:rPr>
          <w:rFonts w:ascii="Bookman Old Style" w:hAnsi="Bookman Old Style" w:cs="Arial"/>
          <w:b/>
          <w:sz w:val="22"/>
        </w:rPr>
        <w:t xml:space="preserve"> FINANCIJSKOG PLANA 01.01.-30.06.2025.</w:t>
      </w:r>
    </w:p>
    <w:p w:rsidR="00381EC7" w:rsidRDefault="00381EC7" w:rsidP="00381EC7">
      <w:pPr>
        <w:pStyle w:val="StandardWeb"/>
        <w:jc w:val="both"/>
        <w:rPr>
          <w:rFonts w:ascii="Bookman Old Style" w:hAnsi="Bookman Old Style" w:cs="Arial"/>
          <w:sz w:val="20"/>
        </w:rPr>
      </w:pPr>
    </w:p>
    <w:p w:rsidR="00381EC7" w:rsidRPr="00381EC7" w:rsidRDefault="00381EC7" w:rsidP="00381EC7">
      <w:pPr>
        <w:pStyle w:val="StandardWeb"/>
        <w:jc w:val="both"/>
        <w:rPr>
          <w:rFonts w:ascii="Bookman Old Style" w:hAnsi="Bookman Old Style" w:cs="Arial"/>
          <w:sz w:val="20"/>
        </w:rPr>
      </w:pPr>
      <w:r w:rsidRPr="00381EC7">
        <w:rPr>
          <w:rFonts w:ascii="Bookman Old Style" w:hAnsi="Bookman Old Style" w:cs="Arial"/>
          <w:sz w:val="20"/>
        </w:rPr>
        <w:t>Zavod za javno zdravstvo Dubrovačko-neretvanske županije (u daljnjem tekstu: Zavod) osnovan je Odlukom Poglavarstva Dubrovačko-neretvanske županije dana 26. travnja 1995. godine, uz suglasnost Ministarstva zdravstva Republike Hrvatske od 24. studenog 1995. godine, a s radom je započeo 1. travnja 1996. godine.</w:t>
      </w:r>
    </w:p>
    <w:p w:rsidR="00381EC7" w:rsidRPr="00381EC7" w:rsidRDefault="00381EC7" w:rsidP="00381EC7">
      <w:pPr>
        <w:pStyle w:val="StandardWeb"/>
        <w:jc w:val="both"/>
        <w:rPr>
          <w:rFonts w:ascii="Bookman Old Style" w:hAnsi="Bookman Old Style" w:cs="Arial"/>
          <w:sz w:val="20"/>
        </w:rPr>
      </w:pPr>
      <w:r w:rsidRPr="00381EC7">
        <w:rPr>
          <w:rFonts w:ascii="Bookman Old Style" w:hAnsi="Bookman Old Style" w:cs="Arial"/>
          <w:sz w:val="20"/>
        </w:rPr>
        <w:t>Zavod obavlja djelatnosti iz područja epidemiologije zaraznih i kroničnih nezaraznih bolesti, javnog zdravstva, promicanja zdravlja, zdravstvene ekologije, mikrobiologije, školske i adolescentne medicine, mentalnog zdravlja te prevencije i suzbijanja ovisnosti na području Dubrovačko-neretvanske županije.</w:t>
      </w:r>
    </w:p>
    <w:p w:rsidR="00381EC7" w:rsidRPr="00381EC7" w:rsidRDefault="00381EC7" w:rsidP="00381EC7">
      <w:pPr>
        <w:pStyle w:val="StandardWeb"/>
        <w:jc w:val="both"/>
        <w:rPr>
          <w:rFonts w:ascii="Bookman Old Style" w:hAnsi="Bookman Old Style" w:cs="Arial"/>
          <w:sz w:val="20"/>
        </w:rPr>
      </w:pPr>
      <w:r w:rsidRPr="00381EC7">
        <w:rPr>
          <w:rFonts w:ascii="Bookman Old Style" w:hAnsi="Bookman Old Style" w:cs="Arial"/>
          <w:sz w:val="20"/>
        </w:rPr>
        <w:t>U okviru pojedinih djelatnosti provodi se niz stručnih i preventivnih mjera, uključujući higijensko-epidemiološku zaštitu s kontinuiranom analizom epidemiološke situacije, protuepidemijske mjere i nadzor nad provođenjem programa obveznih imunizacija. Zavod organizira distribuciju cjepiva ordinacijama primarne zdravstvene zaštite, provodi preventivne preglede djece i mladih, prati zdravstvene potrebe starijih osoba te izrađuje prijedloge zdravstvenih mjera i politika temeljenih na prikupljenim podacima.</w:t>
      </w:r>
    </w:p>
    <w:p w:rsidR="00381EC7" w:rsidRPr="00381EC7" w:rsidRDefault="00381EC7" w:rsidP="00381EC7">
      <w:pPr>
        <w:pStyle w:val="StandardWeb"/>
        <w:jc w:val="both"/>
        <w:rPr>
          <w:rFonts w:ascii="Bookman Old Style" w:hAnsi="Bookman Old Style" w:cs="Arial"/>
          <w:sz w:val="20"/>
        </w:rPr>
      </w:pPr>
      <w:r w:rsidRPr="00381EC7">
        <w:rPr>
          <w:rFonts w:ascii="Bookman Old Style" w:hAnsi="Bookman Old Style" w:cs="Arial"/>
          <w:sz w:val="20"/>
        </w:rPr>
        <w:t xml:space="preserve">Zavod redovito prikuplja, kontrolira i analizira statistička izvješća iz područja zdravstva, uključujući i podatke o bolestima ovisnosti, na razini županije, za potrebe Hrvatskog zavoda za javno zdravstvo. U djelokrugu rada također su i mikrobiološke analize od javnog interesa za županiju, nadzor zdravstvene ispravnosti vode za </w:t>
      </w:r>
      <w:r w:rsidR="006233C1">
        <w:rPr>
          <w:rFonts w:ascii="Bookman Old Style" w:hAnsi="Bookman Old Style" w:cs="Arial"/>
          <w:sz w:val="20"/>
        </w:rPr>
        <w:t>ljudsku potrošnju</w:t>
      </w:r>
      <w:r w:rsidRPr="00381EC7">
        <w:rPr>
          <w:rFonts w:ascii="Bookman Old Style" w:hAnsi="Bookman Old Style" w:cs="Arial"/>
          <w:sz w:val="20"/>
        </w:rPr>
        <w:t xml:space="preserve">, vode za rekreaciju, površinskih i otpadnih voda, kao i kontrola zdravstvene ispravnosti </w:t>
      </w:r>
      <w:r w:rsidR="006233C1">
        <w:rPr>
          <w:rFonts w:ascii="Bookman Old Style" w:hAnsi="Bookman Old Style" w:cs="Arial"/>
          <w:sz w:val="20"/>
        </w:rPr>
        <w:t>hrane</w:t>
      </w:r>
      <w:r w:rsidRPr="00381EC7">
        <w:rPr>
          <w:rFonts w:ascii="Bookman Old Style" w:hAnsi="Bookman Old Style" w:cs="Arial"/>
          <w:sz w:val="20"/>
        </w:rPr>
        <w:t>. Posebnu pažnju Zavod posvećuje provedbi preventivnih programa za rano otkrivanje i suzbijanje kroničnih masovnih bolesti (rak dojke, debelog crijeva, grlića maternice i sl.) te provedbi edukativnih aktivnosti i programa za očuvanje i unapređenje zdravlja stanovništva.</w:t>
      </w:r>
    </w:p>
    <w:p w:rsidR="00381EC7" w:rsidRPr="00381EC7" w:rsidRDefault="00381EC7" w:rsidP="00381EC7">
      <w:pPr>
        <w:pStyle w:val="StandardWeb"/>
        <w:jc w:val="both"/>
        <w:rPr>
          <w:rFonts w:ascii="Bookman Old Style" w:hAnsi="Bookman Old Style" w:cs="Arial"/>
          <w:sz w:val="20"/>
        </w:rPr>
      </w:pPr>
      <w:r w:rsidRPr="00381EC7">
        <w:rPr>
          <w:rFonts w:ascii="Bookman Old Style" w:hAnsi="Bookman Old Style" w:cs="Arial"/>
          <w:sz w:val="20"/>
        </w:rPr>
        <w:t>Kao proračunski korisnik, Zavod je obveznik primjene Zakona o proračunu (Narodne novine, br. 144/21), Pravilnika o proračunskom računovodstvu i računskom planu (Narodne novine, br. 158/23), Pravilnika o proračunskim klasifikacijama (Narodne novine, br. 4/24), Pravilnika o polugodišnjem i godišnjem izvještaju o izvršenju proračuna i financijskog plana (Narodne novine, br. 82/23), kao i Pravilnika o financijskom izvještavanju u proračunskom računovodstvu (Narodne novine, br. 37/22).</w:t>
      </w:r>
    </w:p>
    <w:p w:rsidR="00D35E73" w:rsidRDefault="006233C1" w:rsidP="00381EC7">
      <w:pPr>
        <w:pStyle w:val="StandardWeb"/>
        <w:jc w:val="both"/>
        <w:rPr>
          <w:rFonts w:ascii="Bookman Old Style" w:hAnsi="Bookman Old Style" w:cs="Arial"/>
          <w:sz w:val="20"/>
        </w:rPr>
      </w:pPr>
      <w:r w:rsidRPr="006233C1">
        <w:rPr>
          <w:rFonts w:ascii="Bookman Old Style" w:hAnsi="Bookman Old Style" w:cs="Arial"/>
          <w:bCs/>
          <w:sz w:val="20"/>
        </w:rPr>
        <w:t>Financiranje registriranih djelatnosti Zavoda u izvještajnom razdoblju osigurano je putem namjenskih sredstava</w:t>
      </w:r>
      <w:r w:rsidRPr="006233C1">
        <w:rPr>
          <w:rFonts w:ascii="Bookman Old Style" w:hAnsi="Bookman Old Style" w:cs="Arial"/>
          <w:sz w:val="20"/>
        </w:rPr>
        <w:t xml:space="preserve">, temeljem ugovora s Hrvatskim zavodom za zdravstveno osiguranje o provođenju primarne zdravstvene zaštite iz obveznog i dopunskog osiguranja, kao i specijalističko-konzilijarne zdravstvene zaštite. Dodatni izvori financiranja uključuju </w:t>
      </w:r>
      <w:r w:rsidRPr="006233C1">
        <w:rPr>
          <w:rFonts w:ascii="Bookman Old Style" w:hAnsi="Bookman Old Style" w:cs="Arial"/>
          <w:bCs/>
          <w:sz w:val="20"/>
        </w:rPr>
        <w:t>sredstva iz proračuna Dubrovačko-neretvanske županije</w:t>
      </w:r>
      <w:r w:rsidRPr="006233C1">
        <w:rPr>
          <w:rFonts w:ascii="Bookman Old Style" w:hAnsi="Bookman Old Style" w:cs="Arial"/>
          <w:sz w:val="20"/>
        </w:rPr>
        <w:t xml:space="preserve">, prihode ostvarene pružanjem usluga na tržištu, prihode od prodaje nefinancijske imovine te ostale prihode u skladu s važećim zakonskim i </w:t>
      </w:r>
      <w:proofErr w:type="spellStart"/>
      <w:r w:rsidRPr="006233C1">
        <w:rPr>
          <w:rFonts w:ascii="Bookman Old Style" w:hAnsi="Bookman Old Style" w:cs="Arial"/>
          <w:sz w:val="20"/>
        </w:rPr>
        <w:t>podzakonskim</w:t>
      </w:r>
      <w:proofErr w:type="spellEnd"/>
      <w:r w:rsidRPr="006233C1">
        <w:rPr>
          <w:rFonts w:ascii="Bookman Old Style" w:hAnsi="Bookman Old Style" w:cs="Arial"/>
          <w:sz w:val="20"/>
        </w:rPr>
        <w:t xml:space="preserve"> propisima.</w:t>
      </w:r>
    </w:p>
    <w:p w:rsidR="006233C1" w:rsidRPr="006233C1" w:rsidRDefault="006233C1" w:rsidP="00381EC7">
      <w:pPr>
        <w:pStyle w:val="StandardWeb"/>
        <w:jc w:val="both"/>
        <w:rPr>
          <w:rFonts w:ascii="Bookman Old Style" w:hAnsi="Bookman Old Style" w:cs="Arial"/>
          <w:sz w:val="20"/>
        </w:rPr>
      </w:pPr>
    </w:p>
    <w:p w:rsidR="00D35E73" w:rsidRDefault="00D35E73" w:rsidP="00381EC7">
      <w:pPr>
        <w:pStyle w:val="Odlomakpopisa"/>
        <w:numPr>
          <w:ilvl w:val="0"/>
          <w:numId w:val="1"/>
        </w:numPr>
        <w:rPr>
          <w:rStyle w:val="Naglaeno"/>
          <w:rFonts w:ascii="Bookman Old Style" w:eastAsia="Times New Roman" w:hAnsi="Bookman Old Style" w:cs="Arial"/>
          <w:sz w:val="24"/>
          <w:szCs w:val="24"/>
          <w:lang w:eastAsia="hr-HR"/>
        </w:rPr>
      </w:pPr>
      <w:r w:rsidRPr="00381EC7">
        <w:rPr>
          <w:rStyle w:val="Naglaeno"/>
          <w:rFonts w:ascii="Bookman Old Style" w:eastAsia="Times New Roman" w:hAnsi="Bookman Old Style" w:cs="Arial"/>
          <w:sz w:val="24"/>
          <w:szCs w:val="24"/>
          <w:lang w:eastAsia="hr-HR"/>
        </w:rPr>
        <w:lastRenderedPageBreak/>
        <w:t>OPĆI DIO</w:t>
      </w:r>
    </w:p>
    <w:p w:rsidR="00381EC7" w:rsidRPr="00381EC7" w:rsidRDefault="00381EC7" w:rsidP="00381EC7">
      <w:pPr>
        <w:pStyle w:val="Odlomakpopisa"/>
        <w:ind w:left="1080"/>
        <w:rPr>
          <w:rStyle w:val="Naglaeno"/>
          <w:rFonts w:ascii="Bookman Old Style" w:eastAsia="Times New Roman" w:hAnsi="Bookman Old Style" w:cs="Arial"/>
          <w:sz w:val="24"/>
          <w:szCs w:val="24"/>
          <w:lang w:eastAsia="hr-HR"/>
        </w:rPr>
      </w:pPr>
    </w:p>
    <w:p w:rsidR="00D35E73" w:rsidRPr="00381EC7" w:rsidRDefault="00381EC7" w:rsidP="00381EC7">
      <w:pPr>
        <w:pStyle w:val="Odlomakpopisa"/>
        <w:numPr>
          <w:ilvl w:val="0"/>
          <w:numId w:val="2"/>
        </w:numPr>
        <w:rPr>
          <w:rStyle w:val="Naglaeno"/>
          <w:rFonts w:ascii="Bookman Old Style" w:eastAsia="Times New Roman" w:hAnsi="Bookman Old Style" w:cs="Arial"/>
          <w:sz w:val="24"/>
          <w:szCs w:val="24"/>
          <w:lang w:eastAsia="hr-HR"/>
        </w:rPr>
      </w:pPr>
      <w:r w:rsidRPr="00381EC7">
        <w:rPr>
          <w:rStyle w:val="Naglaeno"/>
          <w:rFonts w:ascii="Bookman Old Style" w:eastAsia="Times New Roman" w:hAnsi="Bookman Old Style" w:cs="Arial"/>
          <w:sz w:val="24"/>
          <w:szCs w:val="24"/>
          <w:lang w:eastAsia="hr-HR"/>
        </w:rPr>
        <w:t>SAŽETAK</w:t>
      </w:r>
    </w:p>
    <w:p w:rsidR="00D35E73" w:rsidRDefault="002A00D0">
      <w:r w:rsidRPr="002A00D0">
        <w:drawing>
          <wp:inline distT="0" distB="0" distL="0" distR="0" wp14:anchorId="322CCF06" wp14:editId="7C0ED8FA">
            <wp:extent cx="5757350" cy="37871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E73" w:rsidRPr="00BB672D" w:rsidRDefault="00D35E73" w:rsidP="00D35E73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U promatranom razdoblju ostvaren je ukupan prihod u iznosu od </w:t>
      </w:r>
      <w:r w:rsidRPr="00BB672D">
        <w:rPr>
          <w:rStyle w:val="Naglaeno"/>
          <w:rFonts w:ascii="Bookman Old Style" w:hAnsi="Bookman Old Style" w:cs="Arial"/>
          <w:b w:val="0"/>
          <w:sz w:val="20"/>
        </w:rPr>
        <w:t>2.141.309,93 EUR</w:t>
      </w:r>
      <w:r w:rsidRPr="00BB672D">
        <w:rPr>
          <w:rFonts w:ascii="Bookman Old Style" w:hAnsi="Bookman Old Style" w:cs="Arial"/>
          <w:sz w:val="20"/>
        </w:rPr>
        <w:t xml:space="preserve">, što predstavlja </w:t>
      </w:r>
      <w:r w:rsidRPr="00BB672D">
        <w:rPr>
          <w:rStyle w:val="Naglaeno"/>
          <w:rFonts w:ascii="Bookman Old Style" w:hAnsi="Bookman Old Style" w:cs="Arial"/>
          <w:b w:val="0"/>
          <w:sz w:val="20"/>
        </w:rPr>
        <w:t>38,72</w:t>
      </w:r>
      <w:r w:rsidRPr="00BB672D">
        <w:rPr>
          <w:rStyle w:val="Naglaeno"/>
          <w:rFonts w:ascii="Bookman Old Style" w:hAnsi="Bookman Old Style" w:cs="Arial"/>
          <w:sz w:val="20"/>
        </w:rPr>
        <w:t xml:space="preserve"> %</w:t>
      </w:r>
      <w:r w:rsidRPr="00BB672D">
        <w:rPr>
          <w:rFonts w:ascii="Bookman Old Style" w:hAnsi="Bookman Old Style" w:cs="Arial"/>
          <w:sz w:val="20"/>
        </w:rPr>
        <w:t xml:space="preserve"> planiranih godišnjih prihoda. U odnosu na isto razdoblje prethodne godine, prihodi su povećani za </w:t>
      </w:r>
      <w:r w:rsidRPr="00BB672D">
        <w:rPr>
          <w:rStyle w:val="Naglaeno"/>
          <w:rFonts w:ascii="Bookman Old Style" w:hAnsi="Bookman Old Style" w:cs="Arial"/>
          <w:b w:val="0"/>
          <w:sz w:val="20"/>
        </w:rPr>
        <w:t>5,50</w:t>
      </w:r>
      <w:r w:rsidRPr="00BB672D">
        <w:rPr>
          <w:rStyle w:val="Naglaeno"/>
          <w:rFonts w:ascii="Bookman Old Style" w:hAnsi="Bookman Old Style" w:cs="Arial"/>
          <w:sz w:val="20"/>
        </w:rPr>
        <w:t xml:space="preserve"> %</w:t>
      </w:r>
      <w:r w:rsidRPr="00BB672D">
        <w:rPr>
          <w:rFonts w:ascii="Bookman Old Style" w:hAnsi="Bookman Old Style" w:cs="Arial"/>
          <w:sz w:val="20"/>
        </w:rPr>
        <w:t>.</w:t>
      </w:r>
    </w:p>
    <w:p w:rsidR="00D35E73" w:rsidRDefault="00D35E73" w:rsidP="00D35E73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Ukupni rashodi i izdaci iznosili su </w:t>
      </w:r>
      <w:r w:rsidRPr="00BB672D">
        <w:rPr>
          <w:rFonts w:ascii="Bookman Old Style" w:hAnsi="Bookman Old Style"/>
          <w:bCs/>
          <w:sz w:val="20"/>
        </w:rPr>
        <w:t>2.591.136,86 EUR</w:t>
      </w:r>
      <w:r w:rsidRPr="00BB672D">
        <w:rPr>
          <w:rFonts w:ascii="Bookman Old Style" w:hAnsi="Bookman Old Style" w:cs="Arial"/>
          <w:sz w:val="20"/>
        </w:rPr>
        <w:t xml:space="preserve">, odnosno </w:t>
      </w:r>
      <w:r w:rsidRPr="00BB672D">
        <w:rPr>
          <w:rFonts w:ascii="Bookman Old Style" w:hAnsi="Bookman Old Style"/>
          <w:bCs/>
          <w:sz w:val="20"/>
        </w:rPr>
        <w:t>46,86 %</w:t>
      </w:r>
      <w:r w:rsidRPr="00BB672D">
        <w:rPr>
          <w:rFonts w:ascii="Bookman Old Style" w:hAnsi="Bookman Old Style" w:cs="Arial"/>
          <w:sz w:val="20"/>
        </w:rPr>
        <w:t xml:space="preserve"> godišnjeg plana. U odnosu na isto razdoblje prethodne godine, ukupni rashodi povećani su za </w:t>
      </w:r>
      <w:r w:rsidRPr="00BB672D">
        <w:rPr>
          <w:rFonts w:ascii="Bookman Old Style" w:hAnsi="Bookman Old Style"/>
          <w:bCs/>
          <w:sz w:val="20"/>
        </w:rPr>
        <w:t>19,52 %</w:t>
      </w:r>
      <w:r w:rsidRPr="00BB672D">
        <w:rPr>
          <w:rFonts w:ascii="Bookman Old Style" w:hAnsi="Bookman Old Style" w:cs="Arial"/>
          <w:sz w:val="20"/>
        </w:rPr>
        <w:t>.</w:t>
      </w:r>
    </w:p>
    <w:p w:rsidR="00ED26CF" w:rsidRPr="00BB672D" w:rsidRDefault="00ED26CF" w:rsidP="00D35E73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Realizacija rashoda poslovanja iznosi </w:t>
      </w:r>
      <w:r w:rsidRPr="00BB672D">
        <w:rPr>
          <w:rFonts w:ascii="Bookman Old Style" w:hAnsi="Bookman Old Style"/>
          <w:bCs/>
          <w:sz w:val="20"/>
        </w:rPr>
        <w:t>2.544.127,66 EUR</w:t>
      </w:r>
      <w:r w:rsidRPr="00BB672D">
        <w:rPr>
          <w:rFonts w:ascii="Bookman Old Style" w:hAnsi="Bookman Old Style" w:cs="Arial"/>
          <w:sz w:val="20"/>
        </w:rPr>
        <w:t xml:space="preserve">, što čini </w:t>
      </w:r>
      <w:r w:rsidRPr="00BB672D">
        <w:rPr>
          <w:rFonts w:ascii="Bookman Old Style" w:hAnsi="Bookman Old Style"/>
          <w:bCs/>
          <w:sz w:val="20"/>
        </w:rPr>
        <w:t>40,74 %</w:t>
      </w:r>
      <w:r w:rsidRPr="00BB672D">
        <w:rPr>
          <w:rFonts w:ascii="Bookman Old Style" w:hAnsi="Bookman Old Style" w:cs="Arial"/>
          <w:sz w:val="20"/>
        </w:rPr>
        <w:t xml:space="preserve"> godišnjeg plana, dok su rashodi za nabavu nefinancijske imovine ostvareni u iznosu od </w:t>
      </w:r>
      <w:r w:rsidRPr="00BB672D">
        <w:rPr>
          <w:rFonts w:ascii="Bookman Old Style" w:hAnsi="Bookman Old Style"/>
          <w:bCs/>
          <w:sz w:val="20"/>
        </w:rPr>
        <w:t>47.009,20 EUR</w:t>
      </w:r>
      <w:r w:rsidRPr="00BB672D">
        <w:rPr>
          <w:rFonts w:ascii="Bookman Old Style" w:hAnsi="Bookman Old Style" w:cs="Arial"/>
          <w:sz w:val="20"/>
        </w:rPr>
        <w:t xml:space="preserve"> (odnosno </w:t>
      </w:r>
      <w:r w:rsidRPr="00BB672D">
        <w:rPr>
          <w:rFonts w:ascii="Bookman Old Style" w:hAnsi="Bookman Old Style"/>
          <w:bCs/>
          <w:sz w:val="20"/>
        </w:rPr>
        <w:t>2,40 %</w:t>
      </w:r>
      <w:r w:rsidRPr="00BB672D">
        <w:rPr>
          <w:rFonts w:ascii="Bookman Old Style" w:hAnsi="Bookman Old Style" w:cs="Arial"/>
          <w:sz w:val="20"/>
        </w:rPr>
        <w:t xml:space="preserve"> plana), s obzirom na to da je većina planiranih kapitalnih ulaganja predviđena za drugo polugodište.</w:t>
      </w:r>
    </w:p>
    <w:p w:rsidR="00D35E73" w:rsidRPr="00BB672D" w:rsidRDefault="00D35E73" w:rsidP="00D35E73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Ostvaren je </w:t>
      </w:r>
      <w:r w:rsidRPr="00BB672D">
        <w:rPr>
          <w:rFonts w:ascii="Bookman Old Style" w:hAnsi="Bookman Old Style"/>
          <w:bCs/>
          <w:sz w:val="20"/>
        </w:rPr>
        <w:t>manjak prihoda i primitaka u iznosu od 449.826,93 EUR</w:t>
      </w:r>
      <w:r w:rsidRPr="00BB672D">
        <w:rPr>
          <w:rFonts w:ascii="Bookman Old Style" w:hAnsi="Bookman Old Style" w:cs="Arial"/>
          <w:sz w:val="20"/>
        </w:rPr>
        <w:t xml:space="preserve">. Međutim, u obzir je potrebno uzeti i </w:t>
      </w:r>
      <w:r w:rsidRPr="00BB672D">
        <w:rPr>
          <w:rFonts w:ascii="Bookman Old Style" w:hAnsi="Bookman Old Style"/>
          <w:bCs/>
          <w:sz w:val="20"/>
        </w:rPr>
        <w:t>preneseni višak prihoda iz prethodnih godina u iznosu od 1.538,37 EUR</w:t>
      </w:r>
      <w:r w:rsidRPr="00BB672D">
        <w:rPr>
          <w:rFonts w:ascii="Bookman Old Style" w:hAnsi="Bookman Old Style" w:cs="Arial"/>
          <w:sz w:val="20"/>
        </w:rPr>
        <w:t xml:space="preserve">, pa ukupni manjak za pokriće u narednim razdobljima iznosi </w:t>
      </w:r>
      <w:r w:rsidRPr="00BB672D">
        <w:rPr>
          <w:rFonts w:ascii="Bookman Old Style" w:hAnsi="Bookman Old Style"/>
          <w:bCs/>
          <w:sz w:val="20"/>
        </w:rPr>
        <w:t>448.288,56 EUR</w:t>
      </w:r>
      <w:r w:rsidRPr="00BB672D">
        <w:rPr>
          <w:rFonts w:ascii="Bookman Old Style" w:hAnsi="Bookman Old Style" w:cs="Arial"/>
          <w:sz w:val="20"/>
        </w:rPr>
        <w:t>.</w:t>
      </w:r>
    </w:p>
    <w:p w:rsidR="00D35E73" w:rsidRPr="00BB672D" w:rsidRDefault="00D35E73" w:rsidP="00D35E73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Ostvareni manjak rezultat je </w:t>
      </w:r>
      <w:r w:rsidRPr="00BB672D">
        <w:rPr>
          <w:rFonts w:ascii="Bookman Old Style" w:hAnsi="Bookman Old Style"/>
          <w:bCs/>
          <w:sz w:val="20"/>
        </w:rPr>
        <w:t xml:space="preserve">strukturnog </w:t>
      </w:r>
      <w:proofErr w:type="spellStart"/>
      <w:r w:rsidRPr="00BB672D">
        <w:rPr>
          <w:rFonts w:ascii="Bookman Old Style" w:hAnsi="Bookman Old Style"/>
          <w:bCs/>
          <w:sz w:val="20"/>
        </w:rPr>
        <w:t>nesrazmjera</w:t>
      </w:r>
      <w:proofErr w:type="spellEnd"/>
      <w:r w:rsidRPr="00BB672D">
        <w:rPr>
          <w:rFonts w:ascii="Bookman Old Style" w:hAnsi="Bookman Old Style"/>
          <w:bCs/>
          <w:sz w:val="20"/>
        </w:rPr>
        <w:t xml:space="preserve"> između prihoda i rashoda</w:t>
      </w:r>
      <w:r w:rsidRPr="00BB672D">
        <w:rPr>
          <w:rFonts w:ascii="Bookman Old Style" w:hAnsi="Bookman Old Style" w:cs="Arial"/>
          <w:sz w:val="20"/>
        </w:rPr>
        <w:t xml:space="preserve">, pri čemu je dominantan utjecaj imalo </w:t>
      </w:r>
      <w:r w:rsidRPr="00BB672D">
        <w:rPr>
          <w:rFonts w:ascii="Bookman Old Style" w:hAnsi="Bookman Old Style"/>
          <w:bCs/>
          <w:sz w:val="20"/>
        </w:rPr>
        <w:t>značajno povećanje rashodovne strane</w:t>
      </w:r>
      <w:r w:rsidRPr="00BB672D">
        <w:rPr>
          <w:rFonts w:ascii="Bookman Old Style" w:hAnsi="Bookman Old Style" w:cs="Arial"/>
          <w:sz w:val="20"/>
        </w:rPr>
        <w:t>, bez istovremenog proporcionalnog rasta prihoda.</w:t>
      </w:r>
    </w:p>
    <w:p w:rsidR="00D35E73" w:rsidRPr="00BB672D" w:rsidRDefault="00D35E73" w:rsidP="00D35E73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Dio sredstava ostvarenih od financijske imovine, uključujući dospjele kamate po oročenim depozitima, </w:t>
      </w:r>
      <w:r w:rsidRPr="00BB672D">
        <w:rPr>
          <w:rFonts w:ascii="Bookman Old Style" w:hAnsi="Bookman Old Style"/>
          <w:bCs/>
          <w:sz w:val="20"/>
        </w:rPr>
        <w:t>bit će korišten za pokriće manjka iz redovnog poslovanja</w:t>
      </w:r>
      <w:r w:rsidRPr="00BB672D">
        <w:rPr>
          <w:rFonts w:ascii="Bookman Old Style" w:hAnsi="Bookman Old Style" w:cs="Arial"/>
          <w:sz w:val="20"/>
        </w:rPr>
        <w:t xml:space="preserve"> te djelomično i za </w:t>
      </w:r>
      <w:r w:rsidRPr="00BB672D">
        <w:rPr>
          <w:rFonts w:ascii="Bookman Old Style" w:hAnsi="Bookman Old Style"/>
          <w:bCs/>
          <w:sz w:val="20"/>
        </w:rPr>
        <w:t>pokriće rashoda koji proizlaze iz nabave nefinancijske imovine</w:t>
      </w:r>
      <w:r w:rsidRPr="00BB672D">
        <w:rPr>
          <w:rFonts w:ascii="Bookman Old Style" w:hAnsi="Bookman Old Style" w:cs="Arial"/>
          <w:sz w:val="20"/>
        </w:rPr>
        <w:t>.</w:t>
      </w:r>
    </w:p>
    <w:p w:rsidR="00381EC7" w:rsidRDefault="00381EC7" w:rsidP="00D35E73">
      <w:pPr>
        <w:pStyle w:val="StandardWeb"/>
        <w:jc w:val="both"/>
        <w:rPr>
          <w:rFonts w:ascii="Bookman Old Style" w:hAnsi="Bookman Old Style" w:cs="Arial"/>
          <w:sz w:val="20"/>
        </w:rPr>
      </w:pPr>
    </w:p>
    <w:p w:rsidR="00381EC7" w:rsidRPr="00381EC7" w:rsidRDefault="00381EC7" w:rsidP="00381EC7">
      <w:pPr>
        <w:pStyle w:val="StandardWeb"/>
        <w:numPr>
          <w:ilvl w:val="0"/>
          <w:numId w:val="2"/>
        </w:numPr>
        <w:jc w:val="both"/>
        <w:rPr>
          <w:rFonts w:ascii="Bookman Old Style" w:hAnsi="Bookman Old Style" w:cs="Arial"/>
          <w:b/>
          <w:sz w:val="20"/>
        </w:rPr>
      </w:pPr>
      <w:r w:rsidRPr="00381EC7">
        <w:rPr>
          <w:rFonts w:ascii="Bookman Old Style" w:hAnsi="Bookman Old Style"/>
          <w:b/>
        </w:rPr>
        <w:lastRenderedPageBreak/>
        <w:t>IZVJEŠTAJ O PRIHODIMA I RASHODIMA PREMA EKONOMSKOJ KLASIFIKACIJI</w:t>
      </w:r>
    </w:p>
    <w:p w:rsidR="00381EC7" w:rsidRPr="00BB672D" w:rsidRDefault="00BB672D" w:rsidP="00BB672D">
      <w:pPr>
        <w:pStyle w:val="StandardWeb"/>
        <w:numPr>
          <w:ilvl w:val="0"/>
          <w:numId w:val="14"/>
        </w:numPr>
        <w:jc w:val="both"/>
        <w:rPr>
          <w:rFonts w:ascii="Bookman Old Style" w:hAnsi="Bookman Old Style"/>
          <w:b/>
          <w:sz w:val="22"/>
        </w:rPr>
      </w:pPr>
      <w:r w:rsidRPr="00BB672D">
        <w:rPr>
          <w:rFonts w:ascii="Bookman Old Style" w:hAnsi="Bookman Old Style"/>
          <w:b/>
          <w:sz w:val="22"/>
        </w:rPr>
        <w:t>PRIHODI POSLOVANJA</w:t>
      </w:r>
    </w:p>
    <w:p w:rsidR="00381EC7" w:rsidRPr="00381EC7" w:rsidRDefault="005D59A9" w:rsidP="00381EC7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 w:rsidRPr="005D59A9">
        <w:drawing>
          <wp:inline distT="0" distB="0" distL="0" distR="0" wp14:anchorId="17D48BE3" wp14:editId="500743E7">
            <wp:extent cx="5758334" cy="54940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72D" w:rsidRPr="00BB672D" w:rsidRDefault="00BB672D" w:rsidP="00BB672D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>U promatranom razdoblju ukupno su ostvareni prihodi poslovanja u iznosu od 2.141.309,93 EUR, što predstavlja 38,74 % godišnjeg plana i 5,50 % više u odnosu na isto razdoblje prethodne godine.</w:t>
      </w:r>
    </w:p>
    <w:p w:rsidR="00BB672D" w:rsidRPr="00BB672D" w:rsidRDefault="001E6400" w:rsidP="00BB672D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63</w:t>
      </w:r>
      <w:r w:rsidR="00BB672D" w:rsidRPr="00BB672D">
        <w:rPr>
          <w:rFonts w:ascii="Bookman Old Style" w:hAnsi="Bookman Old Style" w:cs="Arial"/>
          <w:b/>
          <w:sz w:val="20"/>
        </w:rPr>
        <w:t xml:space="preserve"> – Pomoći iz inozemstva i od subjekata unutar općeg proračuna</w:t>
      </w:r>
    </w:p>
    <w:p w:rsidR="006350D0" w:rsidRPr="006350D0" w:rsidRDefault="006350D0" w:rsidP="006350D0">
      <w:pPr>
        <w:pStyle w:val="StandardWeb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U </w:t>
      </w:r>
      <w:r w:rsidRPr="006350D0">
        <w:rPr>
          <w:rFonts w:ascii="Bookman Old Style" w:hAnsi="Bookman Old Style" w:cs="Arial"/>
          <w:sz w:val="20"/>
        </w:rPr>
        <w:t xml:space="preserve">izvještajnom razdoblju 2025. godine nisu ostvarene pomoći od izvanproračunskih korisnika temeljem isplate </w:t>
      </w:r>
      <w:proofErr w:type="spellStart"/>
      <w:r w:rsidRPr="006350D0">
        <w:rPr>
          <w:rFonts w:ascii="Bookman Old Style" w:hAnsi="Bookman Old Style" w:cs="Arial"/>
          <w:sz w:val="20"/>
        </w:rPr>
        <w:t>Covid</w:t>
      </w:r>
      <w:proofErr w:type="spellEnd"/>
      <w:r w:rsidRPr="006350D0">
        <w:rPr>
          <w:rFonts w:ascii="Bookman Old Style" w:hAnsi="Bookman Old Style" w:cs="Arial"/>
          <w:sz w:val="20"/>
        </w:rPr>
        <w:t xml:space="preserve"> dodatka, budući da je, prema odluci Vlade Republike Hrvatske, zaključno s isplatom plaće za kolovoz 2024. godine, prestala isplata navedenog dodatka, čime je ujedno prestao i prihod od HZZO-a za tu namjenu. S druge strane, unutar grupe prihoda 63, ostvarene su pomoći od izvanproračunskih korisnika u ukupnom iznosu od 19.640,39 EUR, što predstavlja 16,10 % planiranih sredstava. Ove pomoći odnose se na naknade i sredstva ostvarena temeljem sudjelovanja u projektima i ispunjavanja ugovornih obveza, pri čemu u prethodnoj godini ti prihodi nisu bili ostvareni. Također, pomoći temeljem EU sredstava ostvarene su u 2025. godini u iznosu koji je 15,9 % manji u odnosu </w:t>
      </w:r>
      <w:r w:rsidRPr="006350D0">
        <w:rPr>
          <w:rFonts w:ascii="Bookman Old Style" w:hAnsi="Bookman Old Style" w:cs="Arial"/>
          <w:sz w:val="20"/>
        </w:rPr>
        <w:lastRenderedPageBreak/>
        <w:t>na isto izvještajno razdoblje prethodne godine, što je rezultat manjeg broja podnesenih zahtjeva za nadoknadu sredstava Ministarstvu zdravstva za troškove specijalizacija.</w:t>
      </w:r>
    </w:p>
    <w:p w:rsidR="00BB672D" w:rsidRPr="00BB672D" w:rsidRDefault="001E6400" w:rsidP="00BB672D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64</w:t>
      </w:r>
      <w:r w:rsidR="00BB672D" w:rsidRPr="00BB672D">
        <w:rPr>
          <w:rFonts w:ascii="Bookman Old Style" w:hAnsi="Bookman Old Style" w:cs="Arial"/>
          <w:b/>
          <w:sz w:val="20"/>
        </w:rPr>
        <w:t xml:space="preserve"> – Prihodi od imovine</w:t>
      </w:r>
    </w:p>
    <w:p w:rsidR="00BB672D" w:rsidRPr="00BB672D" w:rsidRDefault="00BB672D" w:rsidP="00BB672D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>Ostvareni su kamate na oročena sredstva i depozite po viđenju u iznosu od 144,94 EUR, što predstavlja 36,24 % godišnjeg plana. Ovi prihodi ukazuju na plasman viška likvidnih sredstava na oročene depozite u cilju ostvarivanja dodatnih prihoda.</w:t>
      </w:r>
    </w:p>
    <w:p w:rsidR="001E6400" w:rsidRDefault="001E6400" w:rsidP="00BB672D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65</w:t>
      </w:r>
      <w:r w:rsidR="00BB672D" w:rsidRPr="00BB672D">
        <w:rPr>
          <w:rFonts w:ascii="Bookman Old Style" w:hAnsi="Bookman Old Style" w:cs="Arial"/>
          <w:b/>
          <w:sz w:val="20"/>
        </w:rPr>
        <w:t xml:space="preserve"> –</w:t>
      </w:r>
      <w:r>
        <w:rPr>
          <w:rFonts w:ascii="Bookman Old Style" w:hAnsi="Bookman Old Style" w:cs="Arial"/>
          <w:b/>
          <w:sz w:val="20"/>
        </w:rPr>
        <w:t xml:space="preserve"> Prihodi od upravnih i administrativnih pristojbi, pristojbi po posebnim propisima i naknadama</w:t>
      </w:r>
    </w:p>
    <w:p w:rsidR="00BB672D" w:rsidRPr="00BB672D" w:rsidRDefault="006350D0" w:rsidP="00BB672D">
      <w:pPr>
        <w:pStyle w:val="StandardWeb"/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Prihodi po posebnim propisima u 2025. godini veći su za 84,4 % u odnosu na isto razdoblje prethodne godine, ponajprije zahvaljujući značajnom prihodu od naplate štete s osnova osiguranja, ali i nešto većim iznosima participacija te dopunskog zdravstvenog osiguranja. Ukupno je po ovoj stavci ostvareno 118.287,89 EUR, što čini 76,31 % godišnjeg plana i predstavlja povećanje od 184,44 % u odnosu na prethodnu godinu. Ova skupina prihoda obuhvaća administrativne pristojbe, pristojbe po posebnim propisima te ostale naknade.</w:t>
      </w:r>
    </w:p>
    <w:p w:rsidR="00BB672D" w:rsidRPr="00BB672D" w:rsidRDefault="001E6400" w:rsidP="00BB672D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66</w:t>
      </w:r>
      <w:r w:rsidR="00BB672D" w:rsidRPr="00BB672D">
        <w:rPr>
          <w:rFonts w:ascii="Bookman Old Style" w:hAnsi="Bookman Old Style" w:cs="Arial"/>
          <w:b/>
          <w:sz w:val="20"/>
        </w:rPr>
        <w:t xml:space="preserve"> – Prihodi od prodaje proizvoda i robe te pruženih usluga i prihodi od donacija</w:t>
      </w:r>
    </w:p>
    <w:p w:rsidR="00BB672D" w:rsidRPr="00BB672D" w:rsidRDefault="00BB672D" w:rsidP="00BB672D">
      <w:pPr>
        <w:pStyle w:val="StandardWeb"/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sz w:val="20"/>
        </w:rPr>
        <w:t xml:space="preserve">Ostvareni su u iznosu od 719.878,33 EUR, odnosno 26,32 % godišnjeg plana, što je 90,38 % u usporedbi s istim razdobljem prethodne godine. Uključuju prihode od laboratorijskih, mikrobioloških, sanitarnih i epidemioloških usluga koje Zavod pruža krajnjim korisnicima i institucijama. Niži postotak realizacije u odnosu na planiran proizlazi iz sezonskog ritma pojedinih usluga, </w:t>
      </w:r>
      <w:r w:rsidR="00ED26CF">
        <w:rPr>
          <w:rFonts w:ascii="Bookman Old Style" w:hAnsi="Bookman Old Style" w:cs="Arial"/>
          <w:sz w:val="20"/>
        </w:rPr>
        <w:t xml:space="preserve">te niže razine cijena pojedinih usluga u odnosu na isto razdoblje 2024. </w:t>
      </w:r>
      <w:r w:rsidR="001E6400">
        <w:rPr>
          <w:rFonts w:ascii="Bookman Old Style" w:hAnsi="Bookman Old Style" w:cs="Arial"/>
          <w:sz w:val="20"/>
        </w:rPr>
        <w:t>g</w:t>
      </w:r>
      <w:r w:rsidR="00ED26CF">
        <w:rPr>
          <w:rFonts w:ascii="Bookman Old Style" w:hAnsi="Bookman Old Style" w:cs="Arial"/>
          <w:sz w:val="20"/>
        </w:rPr>
        <w:t>odine.</w:t>
      </w:r>
    </w:p>
    <w:p w:rsidR="00BB672D" w:rsidRDefault="001E6400" w:rsidP="00BB672D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 xml:space="preserve">67 </w:t>
      </w:r>
      <w:r w:rsidR="00BB672D" w:rsidRPr="00BB672D">
        <w:rPr>
          <w:rFonts w:ascii="Bookman Old Style" w:hAnsi="Bookman Old Style" w:cs="Arial"/>
          <w:b/>
          <w:sz w:val="20"/>
        </w:rPr>
        <w:t xml:space="preserve">– Prihodi od nadležnog proračuna </w:t>
      </w:r>
      <w:r>
        <w:rPr>
          <w:rFonts w:ascii="Bookman Old Style" w:hAnsi="Bookman Old Style" w:cs="Arial"/>
          <w:b/>
          <w:sz w:val="20"/>
        </w:rPr>
        <w:t xml:space="preserve">i od HZZO-a na temelju ugovorenih </w:t>
      </w:r>
      <w:proofErr w:type="spellStart"/>
      <w:r>
        <w:rPr>
          <w:rFonts w:ascii="Bookman Old Style" w:hAnsi="Bookman Old Style" w:cs="Arial"/>
          <w:b/>
          <w:sz w:val="20"/>
        </w:rPr>
        <w:t>obevza</w:t>
      </w:r>
      <w:proofErr w:type="spellEnd"/>
    </w:p>
    <w:p w:rsidR="006350D0" w:rsidRPr="006350D0" w:rsidRDefault="006350D0" w:rsidP="006350D0">
      <w:pPr>
        <w:pStyle w:val="StandardWeb"/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Ostvareni prihodi iz decentraliziranih usluga u 2025. godini veći su u odnosu na isto razdoblje prethodne godine, što je rezultat drugačijeg vremenskog rasporeda povlačenja sredstava – veći dio sredstava povučen je unutar prvih šest mjeseci, za razliku od prošle godine. Ukupno je ostvareno 1.280.205,77 EUR, što predstavlja 51,12 % godišnjeg plana i 14,92 % više nego u istom razdoblju 2024. godine. Ova sredstva obuhvaćaju financiranje osnovnih troškova rada, plaća zaposlenika, tekućeg održavanja i materijalnih rashoda.</w:t>
      </w:r>
    </w:p>
    <w:p w:rsidR="006350D0" w:rsidRPr="006350D0" w:rsidRDefault="006350D0" w:rsidP="006350D0">
      <w:pPr>
        <w:pStyle w:val="StandardWeb"/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Unutar ove stavke:</w:t>
      </w:r>
    </w:p>
    <w:p w:rsidR="006350D0" w:rsidRPr="006350D0" w:rsidRDefault="006350D0" w:rsidP="006350D0">
      <w:pPr>
        <w:pStyle w:val="StandardWeb"/>
        <w:numPr>
          <w:ilvl w:val="0"/>
          <w:numId w:val="2"/>
        </w:numPr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Konto 6711 – za financiranje rashoda poslovanja: ostvareno je 27.451,50 EUR, što čini 15,77 % godišnjeg plana.</w:t>
      </w:r>
    </w:p>
    <w:p w:rsidR="006350D0" w:rsidRPr="006350D0" w:rsidRDefault="006350D0" w:rsidP="006350D0">
      <w:pPr>
        <w:pStyle w:val="StandardWeb"/>
        <w:numPr>
          <w:ilvl w:val="0"/>
          <w:numId w:val="2"/>
        </w:numPr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Konto 673 – temeljem ugovornih obveza s HZZO-om: ostvareno je 1.252.754,27 EUR, odnosno 53,77 % godišnjeg plana.</w:t>
      </w:r>
    </w:p>
    <w:p w:rsidR="006350D0" w:rsidRPr="006350D0" w:rsidRDefault="006350D0" w:rsidP="006350D0">
      <w:pPr>
        <w:pStyle w:val="StandardWeb"/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Dodatno, prihodi od Hrvatskog zavoda za zdravstveno osiguranje (HZZO) ostvareni su u iznosu koji je 12,8 % viši u odnosu na isto razdoblje prethodne godine. To povećanje proizlazi iz većeg iznosa naknada za tim u socijalnoj medicini, kao i zbog povećanja iznosa glavarine.</w:t>
      </w:r>
    </w:p>
    <w:p w:rsidR="00BB672D" w:rsidRPr="00BB672D" w:rsidRDefault="00BB672D" w:rsidP="005D59A9">
      <w:pPr>
        <w:pStyle w:val="StandardWeb"/>
        <w:numPr>
          <w:ilvl w:val="0"/>
          <w:numId w:val="30"/>
        </w:numPr>
        <w:jc w:val="both"/>
        <w:rPr>
          <w:rFonts w:ascii="Bookman Old Style" w:hAnsi="Bookman Old Style" w:cs="Arial"/>
          <w:b/>
          <w:sz w:val="20"/>
        </w:rPr>
      </w:pPr>
      <w:r w:rsidRPr="00BB672D">
        <w:rPr>
          <w:rFonts w:ascii="Bookman Old Style" w:hAnsi="Bookman Old Style" w:cs="Arial"/>
          <w:b/>
          <w:sz w:val="20"/>
        </w:rPr>
        <w:t xml:space="preserve">– </w:t>
      </w:r>
      <w:r w:rsidR="001E6400">
        <w:rPr>
          <w:rFonts w:ascii="Bookman Old Style" w:hAnsi="Bookman Old Style" w:cs="Arial"/>
          <w:b/>
          <w:sz w:val="20"/>
        </w:rPr>
        <w:t>Kazne, upravne mjere i ostali prihodi</w:t>
      </w:r>
    </w:p>
    <w:p w:rsidR="005D59A9" w:rsidRDefault="006350D0" w:rsidP="005D59A9">
      <w:pPr>
        <w:pStyle w:val="StandardWeb"/>
        <w:jc w:val="both"/>
        <w:rPr>
          <w:rFonts w:ascii="Bookman Old Style" w:hAnsi="Bookman Old Style" w:cs="Arial"/>
          <w:sz w:val="20"/>
        </w:rPr>
      </w:pPr>
      <w:r w:rsidRPr="006350D0">
        <w:rPr>
          <w:rFonts w:ascii="Bookman Old Style" w:hAnsi="Bookman Old Style" w:cs="Arial"/>
          <w:sz w:val="20"/>
        </w:rPr>
        <w:t>Ostali prihodi u 2025. godini iznosili su 3.152,61 EUR, što čini 71,34 % godišnjeg plana i predstavlja smanjenje od 60,30 % u odnosu na isto razdoblje prethodne godine. Pad prihoda primarno je rezultat manjih iznosa refundacija plaća za djelatnicu koja specijalizaciju odrađuje u drugoj zdravstvenoj ustanovi.</w:t>
      </w:r>
      <w:r>
        <w:rPr>
          <w:rFonts w:ascii="Bookman Old Style" w:hAnsi="Bookman Old Style" w:cs="Arial"/>
          <w:sz w:val="20"/>
        </w:rPr>
        <w:t xml:space="preserve"> </w:t>
      </w:r>
    </w:p>
    <w:p w:rsidR="00BB672D" w:rsidRPr="005D59A9" w:rsidRDefault="00BB672D" w:rsidP="005D59A9">
      <w:pPr>
        <w:pStyle w:val="StandardWeb"/>
        <w:numPr>
          <w:ilvl w:val="0"/>
          <w:numId w:val="14"/>
        </w:numPr>
        <w:jc w:val="both"/>
        <w:rPr>
          <w:rFonts w:ascii="Bookman Old Style" w:hAnsi="Bookman Old Style" w:cs="Arial"/>
          <w:sz w:val="20"/>
        </w:rPr>
      </w:pPr>
      <w:r w:rsidRPr="00BB672D">
        <w:rPr>
          <w:rFonts w:ascii="Bookman Old Style" w:hAnsi="Bookman Old Style" w:cs="Arial"/>
          <w:b/>
          <w:sz w:val="20"/>
        </w:rPr>
        <w:lastRenderedPageBreak/>
        <w:t>RASHODI POSLOVANJA</w:t>
      </w:r>
    </w:p>
    <w:p w:rsidR="00BB672D" w:rsidRPr="006B7654" w:rsidRDefault="005D59A9" w:rsidP="00381EC7">
      <w:pPr>
        <w:pStyle w:val="StandardWeb"/>
        <w:jc w:val="both"/>
        <w:rPr>
          <w:rFonts w:ascii="Bookman Old Style" w:hAnsi="Bookman Old Style" w:cs="Arial"/>
          <w:b/>
          <w:sz w:val="20"/>
        </w:rPr>
      </w:pPr>
      <w:r w:rsidRPr="005D59A9">
        <w:drawing>
          <wp:inline distT="0" distB="0" distL="0" distR="0" wp14:anchorId="2351D055" wp14:editId="14B213FD">
            <wp:extent cx="5760720" cy="72694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AAD" w:rsidRPr="006B7654" w:rsidRDefault="005E2AAD" w:rsidP="005E2AAD">
      <w:pPr>
        <w:pStyle w:val="StandardWeb"/>
        <w:rPr>
          <w:rFonts w:ascii="Bookman Old Style" w:hAnsi="Bookman Old Style" w:cs="Arial"/>
          <w:bCs/>
          <w:sz w:val="20"/>
        </w:rPr>
      </w:pPr>
      <w:r w:rsidRPr="006B7654">
        <w:rPr>
          <w:rFonts w:ascii="Bookman Old Style" w:hAnsi="Bookman Old Style" w:cs="Arial"/>
          <w:bCs/>
          <w:sz w:val="20"/>
        </w:rPr>
        <w:t xml:space="preserve">Ukupni rashodi u izvještajnom razdoblju iznosili su </w:t>
      </w:r>
      <w:r w:rsidRPr="006B7654">
        <w:rPr>
          <w:rFonts w:ascii="Bookman Old Style" w:hAnsi="Bookman Old Style" w:cs="Arial"/>
          <w:sz w:val="20"/>
        </w:rPr>
        <w:t>2.591.136,86 EUR</w:t>
      </w:r>
      <w:r w:rsidRPr="006B7654">
        <w:rPr>
          <w:rFonts w:ascii="Bookman Old Style" w:hAnsi="Bookman Old Style" w:cs="Arial"/>
          <w:bCs/>
          <w:sz w:val="20"/>
        </w:rPr>
        <w:t xml:space="preserve">, što predstavlja </w:t>
      </w:r>
      <w:r w:rsidRPr="006B7654">
        <w:rPr>
          <w:rFonts w:ascii="Bookman Old Style" w:hAnsi="Bookman Old Style" w:cs="Arial"/>
          <w:sz w:val="20"/>
        </w:rPr>
        <w:t>46,86 %</w:t>
      </w:r>
      <w:r w:rsidRPr="006B7654">
        <w:rPr>
          <w:rFonts w:ascii="Bookman Old Style" w:hAnsi="Bookman Old Style" w:cs="Arial"/>
          <w:bCs/>
          <w:sz w:val="20"/>
        </w:rPr>
        <w:t xml:space="preserve"> planiranog godišnjeg iznosa i </w:t>
      </w:r>
      <w:r w:rsidRPr="006B7654">
        <w:rPr>
          <w:rFonts w:ascii="Bookman Old Style" w:hAnsi="Bookman Old Style" w:cs="Arial"/>
          <w:sz w:val="20"/>
        </w:rPr>
        <w:t>119,52 %</w:t>
      </w:r>
      <w:r w:rsidRPr="006B7654">
        <w:rPr>
          <w:rFonts w:ascii="Bookman Old Style" w:hAnsi="Bookman Old Style" w:cs="Arial"/>
          <w:bCs/>
          <w:sz w:val="20"/>
        </w:rPr>
        <w:t xml:space="preserve"> u odnosu na isto razdoblje prethodne godine.</w:t>
      </w:r>
    </w:p>
    <w:p w:rsidR="005E2AAD" w:rsidRDefault="005E2AAD" w:rsidP="005E2AAD">
      <w:pPr>
        <w:pStyle w:val="Naslov3"/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</w:pPr>
      <w:r w:rsidRPr="006B7654"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  <w:lastRenderedPageBreak/>
        <w:t>31 – Rashodi za zaposlene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Rashodi za zaposlene u 2025. godini ostvareni su u ukupnom iznosu od 1.932.138,24 EUR, što predstavlja 52,04 % godišnjeg plana. Povećanje bruto plaća za 18,2 % u odnosu na isto razdoblje prethodne godine rezultat je primjene Uredbe Vlade Republike Hrvatske o povećanju plaća od 1. ožujka 2024. godine, kao i povećanja proračunske osnovice za 3 % od veljače 2025. godine. Istovremeno, rashodi za plaće za prekovremeni rad smanjeni su za 53,10 % zbog smanjene potrebe za angažmanom izvan redovnog radnog vremena. Dodatno, od rujna 2024. godine, temeljem odluke Vlade RH, prestala je isplata </w:t>
      </w:r>
      <w:proofErr w:type="spellStart"/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Covid</w:t>
      </w:r>
      <w:proofErr w:type="spellEnd"/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dodatka, zbog čega navedeni rashodi više nisu ostvareni.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Najveći dio rashoda za zaposlene odnosi se na:</w:t>
      </w:r>
    </w:p>
    <w:p w:rsidR="00F62197" w:rsidRPr="00F62197" w:rsidRDefault="00F62197" w:rsidP="00F62197">
      <w:pPr>
        <w:pStyle w:val="Naslov3"/>
        <w:numPr>
          <w:ilvl w:val="0"/>
          <w:numId w:val="27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Plaće za redovan rad – 1.593.143,36 EUR</w:t>
      </w:r>
    </w:p>
    <w:p w:rsidR="00F62197" w:rsidRPr="00F62197" w:rsidRDefault="00F62197" w:rsidP="00F62197">
      <w:pPr>
        <w:pStyle w:val="Naslov3"/>
        <w:numPr>
          <w:ilvl w:val="0"/>
          <w:numId w:val="27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Doprinosi na plaće – 266.355,76 EUR, što čini 51,78 % godišnjeg plana</w:t>
      </w:r>
    </w:p>
    <w:p w:rsidR="00F62197" w:rsidRPr="00F62197" w:rsidRDefault="00F62197" w:rsidP="00F62197">
      <w:pPr>
        <w:pStyle w:val="Naslov3"/>
        <w:numPr>
          <w:ilvl w:val="0"/>
          <w:numId w:val="27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Ostali rashodi za zaposlene i naknade – 55.356,67 EUR, odnosno 61,51 % plana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Izvršenje rashoda za zaposlene odvija se uredno i u skladu s dinamikom isplata plaća te zakonskim obvezama, bez značajnijih odstupanja.</w:t>
      </w:r>
    </w:p>
    <w:p w:rsidR="005E2AAD" w:rsidRPr="006B7654" w:rsidRDefault="005E2AAD" w:rsidP="005E2AAD">
      <w:pPr>
        <w:pStyle w:val="Naslov3"/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</w:pPr>
      <w:r w:rsidRPr="006B7654"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  <w:t>32 – Materijalni rashodi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>Materijalni rashodi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na dan 30. lipnja 2025. godine iznosili su ukupno 609.547,07 EUR, što predsta</w:t>
      </w:r>
      <w:r w:rsidR="006233C1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vlja 47,73 % godišnjeg plana i 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18,61 % ostvarenja u odnosu na isto razdoblje prethodne godine. Unutar ove skupine rashoda, zabilježena su značajna odstupanja na pojedinim stavkama uslijed metodoloških promjena, tržišnih okolnosti i stvarnih potreba korisnika.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>Rashodi za materijal i energiju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smanjeni su za 68,70 %, ponajprije zbog promjene </w:t>
      </w:r>
      <w:proofErr w:type="spellStart"/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kontnog</w:t>
      </w:r>
      <w:proofErr w:type="spellEnd"/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okvira, temeljem novog Pravilnika o proračunskom računovodstvu, prema kojem se rashodi za lijekove i medicinski potrošni materijal u 2025. godini više ne knjiže na konto 3222 (</w:t>
      </w:r>
      <w:r w:rsidRPr="00F62197">
        <w:rPr>
          <w:rFonts w:ascii="Bookman Old Style" w:eastAsia="Times New Roman" w:hAnsi="Bookman Old Style" w:cs="Arial"/>
          <w:b w:val="0"/>
          <w:i/>
          <w:iCs/>
          <w:color w:val="auto"/>
          <w:sz w:val="20"/>
          <w:szCs w:val="24"/>
          <w:lang w:eastAsia="hr-HR"/>
        </w:rPr>
        <w:t>Materijal i sirovine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), već na konto 3251 (</w:t>
      </w:r>
      <w:r w:rsidRPr="00F62197">
        <w:rPr>
          <w:rFonts w:ascii="Bookman Old Style" w:eastAsia="Times New Roman" w:hAnsi="Bookman Old Style" w:cs="Arial"/>
          <w:b w:val="0"/>
          <w:i/>
          <w:iCs/>
          <w:color w:val="auto"/>
          <w:sz w:val="20"/>
          <w:szCs w:val="24"/>
          <w:lang w:eastAsia="hr-HR"/>
        </w:rPr>
        <w:t>Lijekovi i potrošni medicinski materijal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). Tako u 2025. godini nije zabilježeno knjiženje na kontu 3222, već su svi rashodi preusmjereni na novi konto. Osim toga, na smanjenje je utjecala i razlika u nabavnim cijenama između 2024. i 2025. godine. Ipak, usporedbom konta 3222 i 3251 može se zaključiti da su rashodi za lijekove i potrošni medicinski materijal u 2025. godini veći za 26 %, što je rezultat viših cijena te povećane potrebe za navedenim materijalom. Ukupno ostvareni rashodi za lijekove i potrošni medicinski materijal iznose 185.807,27 EUR, što značajno premašuje planirane iznose, prvenstveno zbog povećanih potreba u području laboratorijske i dijagnostičke opreme.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>Rashodi za usluge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bilježe povećanje od 26,8 %, a ostvareni su u ukupnom iznosu od 279.636,29 EUR. Povećanje je posebno izraženo kod rashoda za promidžbu i informiranje, kao i kod zdravstvenih i veterinarskih usluga, intelektualnih te računalnih usluga. Rashodi za promidžbu porasli su zbog većeg broja objavljenih natječaja za zapošljavanje. Zdravstvene i veterinarske usluge zabilježile su rast od 38,7 % zbog povećane potrebe za uslugama vanjskih laboratorijskih ustanova. Istovremeno, povećani su rashodi za intelektualne usluge uslijed većeg broja ugovora o djelu, dok je rast računalnih usluga posljedica dodatnih troškova ažuriranja računalnih baza podataka te viših cijena mjesečnih najmova za korištenje računalnih programa.</w:t>
      </w:r>
    </w:p>
    <w:p w:rsidR="00F62197" w:rsidRP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lastRenderedPageBreak/>
        <w:t>Rashodi za materijal i energiju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uže gledano (isključujući lijekove) ostvareni su u iznosu od 60.900,68 EUR, pri čemu su veća odstupanja uočena kod uredskog materijala i inventara, što se može pripisati jednokratnim većim nabavama.</w:t>
      </w:r>
    </w:p>
    <w:p w:rsidR="00F62197" w:rsidRDefault="00F62197" w:rsidP="00F62197">
      <w:pPr>
        <w:pStyle w:val="Naslov3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62197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>Naknade troškova zaposlenima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iznosile su 60.456,02 EUR, a </w:t>
      </w:r>
      <w:r w:rsidRPr="00F62197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>ostali nespomenuti rashodi poslovanja</w:t>
      </w:r>
      <w:r w:rsidRPr="00F62197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zabilježeni su u iznosu od 12.693,14 EUR, što je 32,50 % manje u odnosu na isto izvještajno razdoblje prethodne godine. Smanjenje proizlazi iz činjenice da premija osiguranja zaposlenika za 2025. godinu još uvijek nije ugovorena. Ova stavka uključuje članarine, pristojbe, troškove reprezentacije i naknade za rad povjerenstava.</w:t>
      </w:r>
    </w:p>
    <w:p w:rsidR="005E2AAD" w:rsidRDefault="005E2AAD" w:rsidP="005E2AAD">
      <w:pPr>
        <w:pStyle w:val="Naslov3"/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</w:pPr>
      <w:r w:rsidRPr="006B7654"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  <w:t>34 – Financijski rashodi</w:t>
      </w:r>
    </w:p>
    <w:p w:rsidR="00F54E00" w:rsidRPr="00F54E00" w:rsidRDefault="00F54E00" w:rsidP="00F54E00">
      <w:pPr>
        <w:pStyle w:val="Naslov3"/>
        <w:jc w:val="both"/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Ostali financijski rashodi</w:t>
      </w:r>
      <w:r w:rsidRPr="00F54E00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 xml:space="preserve"> u 2025. godini iznosili su 2.362,41 EUR, što predstavlja 36,42 % više u odnosu na isto razdoblje prethodne godine. Povećanje je posljedica većeg prometa na žiro računu, a rashodi se odnose na plaćanje bankarskih usluga i usluga platnog prometa.</w:t>
      </w:r>
    </w:p>
    <w:p w:rsidR="005E2AAD" w:rsidRPr="006B7654" w:rsidRDefault="005E2AAD" w:rsidP="005E2AAD">
      <w:pPr>
        <w:pStyle w:val="Naslov3"/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</w:pPr>
      <w:r w:rsidRPr="006B7654"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  <w:t>36 – Pomoći unutar općeg proračuna</w:t>
      </w:r>
    </w:p>
    <w:p w:rsidR="006B7654" w:rsidRDefault="006B7654" w:rsidP="005E2AAD">
      <w:pPr>
        <w:pStyle w:val="Naslov3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Pomoći unutar općeg proračuna nisu realizirane u promatranom razdoblju.</w:t>
      </w:r>
    </w:p>
    <w:p w:rsidR="005E2AAD" w:rsidRPr="005E2AAD" w:rsidRDefault="005E2AAD" w:rsidP="005E2AAD">
      <w:pPr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</w:p>
    <w:p w:rsidR="005E2AAD" w:rsidRPr="006B7654" w:rsidRDefault="005E2AAD" w:rsidP="006B7654">
      <w:pPr>
        <w:pStyle w:val="Naslov2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5E2AAD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Rashodi za nabavu nefinancijske imovine</w:t>
      </w:r>
      <w:r w:rsidR="006B7654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</w:t>
      </w:r>
      <w:r w:rsidR="006B7654" w:rsidRPr="006B7654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u</w:t>
      </w:r>
      <w:r w:rsidRPr="006B7654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kupno su iznosili 47.009,20 EUR, što čini 20,54 % godišnjeg plana i višestruko više nego u istom razdoblju 2024. godine (indeks 888,00).</w:t>
      </w:r>
    </w:p>
    <w:p w:rsidR="006B7654" w:rsidRPr="006B7654" w:rsidRDefault="006B7654" w:rsidP="006B7654">
      <w:pPr>
        <w:pStyle w:val="Naslov3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6B7654"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  <w:t>42 – Nabava proizvedene dugotrajne imovine</w:t>
      </w:r>
    </w:p>
    <w:p w:rsidR="00F54E00" w:rsidRPr="00F54E00" w:rsidRDefault="00F54E00" w:rsidP="00F54E00">
      <w:pPr>
        <w:pStyle w:val="Naslov2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Rashodi za nabavu nefinancijske imovine u promatranom razdoblju iznose ukupno 47.009,20 EUR, što predstavlja 20,54 % godišnjeg plana. Ovi rashodi usmjereni su na modernizaciju radnih procesa i unapređenje tehničkih kapaciteta, osobito u segmentima dijagnostike i informatičke podrške. Nabavljeno je i novo osobno vozilo za potrebe rada na terenu.</w:t>
      </w:r>
    </w:p>
    <w:p w:rsidR="00F54E00" w:rsidRPr="00F54E00" w:rsidRDefault="00F54E00" w:rsidP="00F54E00">
      <w:pPr>
        <w:pStyle w:val="Naslov2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Struktura rashoda uključuje:</w:t>
      </w:r>
    </w:p>
    <w:p w:rsidR="00F54E00" w:rsidRPr="00F54E00" w:rsidRDefault="00F54E00" w:rsidP="00F54E00">
      <w:pPr>
        <w:pStyle w:val="Naslov2"/>
        <w:numPr>
          <w:ilvl w:val="0"/>
          <w:numId w:val="29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Uredska oprema i namještaj – 879,81 EUR</w:t>
      </w:r>
    </w:p>
    <w:p w:rsidR="00F54E00" w:rsidRPr="00F54E00" w:rsidRDefault="00F54E00" w:rsidP="00F54E00">
      <w:pPr>
        <w:pStyle w:val="Naslov2"/>
        <w:numPr>
          <w:ilvl w:val="0"/>
          <w:numId w:val="29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Komunikacijska oprema – 17,99 EUR</w:t>
      </w:r>
    </w:p>
    <w:p w:rsidR="00F54E00" w:rsidRPr="00F54E00" w:rsidRDefault="00F54E00" w:rsidP="00F54E00">
      <w:pPr>
        <w:pStyle w:val="Naslov2"/>
        <w:numPr>
          <w:ilvl w:val="0"/>
          <w:numId w:val="29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Medicinska i laboratorijska oprema – 7.513,89 EUR</w:t>
      </w:r>
    </w:p>
    <w:p w:rsidR="00F54E00" w:rsidRPr="00F54E00" w:rsidRDefault="00F54E00" w:rsidP="00F54E00">
      <w:pPr>
        <w:pStyle w:val="Naslov2"/>
        <w:numPr>
          <w:ilvl w:val="0"/>
          <w:numId w:val="29"/>
        </w:numPr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>Instrumenti, uređaji i strojevi – 154,00 EUR</w:t>
      </w:r>
    </w:p>
    <w:p w:rsidR="006B7654" w:rsidRPr="006B7654" w:rsidRDefault="006B7654" w:rsidP="006B7654">
      <w:pPr>
        <w:pStyle w:val="Naslov3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6B7654">
        <w:rPr>
          <w:rFonts w:ascii="Bookman Old Style" w:eastAsia="Times New Roman" w:hAnsi="Bookman Old Style" w:cs="Arial"/>
          <w:color w:val="auto"/>
          <w:sz w:val="20"/>
          <w:szCs w:val="24"/>
          <w:lang w:eastAsia="hr-HR"/>
        </w:rPr>
        <w:t>45 – Prijenosi u vezi s nefinancijskom imovinom</w:t>
      </w:r>
    </w:p>
    <w:p w:rsidR="00BB672D" w:rsidRDefault="00F54E00" w:rsidP="00F54E00">
      <w:pPr>
        <w:pStyle w:val="Naslov2"/>
        <w:jc w:val="both"/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</w:pPr>
      <w:r w:rsidRPr="00F54E00">
        <w:rPr>
          <w:rFonts w:ascii="Bookman Old Style" w:eastAsia="Times New Roman" w:hAnsi="Bookman Old Style" w:cs="Arial"/>
          <w:b w:val="0"/>
          <w:bCs w:val="0"/>
          <w:color w:val="auto"/>
          <w:sz w:val="20"/>
          <w:szCs w:val="24"/>
          <w:lang w:eastAsia="hr-HR"/>
        </w:rPr>
        <w:t>Dodatna ulaganja na građevinskim objektima</w:t>
      </w:r>
      <w:r w:rsidRPr="00F54E00">
        <w:rPr>
          <w:rFonts w:ascii="Bookman Old Style" w:eastAsia="Times New Roman" w:hAnsi="Bookman Old Style" w:cs="Arial"/>
          <w:b w:val="0"/>
          <w:color w:val="auto"/>
          <w:sz w:val="20"/>
          <w:szCs w:val="24"/>
          <w:lang w:eastAsia="hr-HR"/>
        </w:rPr>
        <w:t xml:space="preserve"> u izvještajnom razdoblju iznose ukupno 20.093,88 EUR, od čega je 2.498,99 EUR već realizirano, dok se preostali iznos odnosi na ulaganje koje je u tijeku. Sredstva su usmjerena na projekt dizalice topline, čija se realizacija provodi postupno tijekom godine.</w:t>
      </w:r>
    </w:p>
    <w:p w:rsidR="00F54E00" w:rsidRDefault="00F54E00" w:rsidP="00F54E00">
      <w:pPr>
        <w:rPr>
          <w:lang w:eastAsia="hr-HR"/>
        </w:rPr>
      </w:pPr>
    </w:p>
    <w:p w:rsidR="00F54E00" w:rsidRDefault="00F54E00" w:rsidP="00F54E00">
      <w:pPr>
        <w:rPr>
          <w:lang w:eastAsia="hr-HR"/>
        </w:rPr>
      </w:pPr>
    </w:p>
    <w:p w:rsidR="00F54E00" w:rsidRPr="00F54E00" w:rsidRDefault="00F54E00" w:rsidP="00F54E00">
      <w:pPr>
        <w:rPr>
          <w:lang w:eastAsia="hr-HR"/>
        </w:rPr>
      </w:pPr>
    </w:p>
    <w:p w:rsidR="00BB672D" w:rsidRPr="00BB672D" w:rsidRDefault="00BB672D" w:rsidP="00BB672D">
      <w:pPr>
        <w:pStyle w:val="StandardWeb"/>
        <w:numPr>
          <w:ilvl w:val="0"/>
          <w:numId w:val="13"/>
        </w:numPr>
        <w:jc w:val="both"/>
        <w:rPr>
          <w:rFonts w:ascii="Bookman Old Style" w:hAnsi="Bookman Old Style" w:cs="Arial"/>
          <w:b/>
          <w:bCs/>
          <w:sz w:val="22"/>
        </w:rPr>
      </w:pPr>
      <w:r w:rsidRPr="00BB672D">
        <w:rPr>
          <w:rFonts w:ascii="Bookman Old Style" w:hAnsi="Bookman Old Style" w:cs="Arial"/>
          <w:b/>
          <w:bCs/>
          <w:sz w:val="22"/>
        </w:rPr>
        <w:lastRenderedPageBreak/>
        <w:t>IZVJEŠTAJ O PRIHODIMA I RASHODIMA PREMA IZVORIMA FINANCIRANJA</w:t>
      </w:r>
    </w:p>
    <w:p w:rsidR="00BB672D" w:rsidRDefault="00BB672D" w:rsidP="00BB672D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BB672D">
        <w:rPr>
          <w:rFonts w:ascii="Bookman Old Style" w:hAnsi="Bookman Old Style" w:cs="Arial"/>
          <w:bCs/>
          <w:sz w:val="20"/>
        </w:rPr>
        <w:t>Pregled prihoda i rashoda prema izvorima financiranja:</w:t>
      </w:r>
    </w:p>
    <w:p w:rsidR="002F1574" w:rsidRDefault="005D59A9" w:rsidP="00BB672D">
      <w:pPr>
        <w:pStyle w:val="StandardWeb"/>
        <w:jc w:val="both"/>
      </w:pPr>
      <w:r w:rsidRPr="005D59A9">
        <w:drawing>
          <wp:inline distT="0" distB="0" distL="0" distR="0" wp14:anchorId="564BB25B" wp14:editId="31063D4D">
            <wp:extent cx="5760720" cy="6111240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74" w:rsidRPr="00F54E00" w:rsidRDefault="002F1574" w:rsidP="002F1574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F54E00">
        <w:rPr>
          <w:rFonts w:ascii="Bookman Old Style" w:hAnsi="Bookman Old Style" w:cs="Arial"/>
          <w:bCs/>
          <w:sz w:val="20"/>
        </w:rPr>
        <w:t xml:space="preserve">U promatranom razdoblju ostvareni su ukupni prihodi u iznosu od </w:t>
      </w:r>
      <w:r w:rsidRPr="00F54E00">
        <w:rPr>
          <w:rFonts w:ascii="Bookman Old Style" w:hAnsi="Bookman Old Style" w:cs="Arial"/>
          <w:sz w:val="20"/>
        </w:rPr>
        <w:t>2.141.309,93 EUR</w:t>
      </w:r>
      <w:r w:rsidRPr="00F54E00">
        <w:rPr>
          <w:rFonts w:ascii="Bookman Old Style" w:hAnsi="Bookman Old Style" w:cs="Arial"/>
          <w:bCs/>
          <w:sz w:val="20"/>
        </w:rPr>
        <w:t xml:space="preserve">, što predstavlja </w:t>
      </w:r>
      <w:r w:rsidRPr="00F54E00">
        <w:rPr>
          <w:rFonts w:ascii="Bookman Old Style" w:hAnsi="Bookman Old Style" w:cs="Arial"/>
          <w:sz w:val="20"/>
        </w:rPr>
        <w:t>38,72 %</w:t>
      </w:r>
      <w:r w:rsidRPr="00F54E00">
        <w:rPr>
          <w:rFonts w:ascii="Bookman Old Style" w:hAnsi="Bookman Old Style" w:cs="Arial"/>
          <w:bCs/>
          <w:sz w:val="20"/>
        </w:rPr>
        <w:t xml:space="preserve"> godišnjeg plana i </w:t>
      </w:r>
      <w:r w:rsidRPr="00F54E00">
        <w:rPr>
          <w:rFonts w:ascii="Bookman Old Style" w:hAnsi="Bookman Old Style" w:cs="Arial"/>
          <w:sz w:val="20"/>
        </w:rPr>
        <w:t>5,50 %</w:t>
      </w:r>
      <w:r w:rsidRPr="00F54E00">
        <w:rPr>
          <w:rFonts w:ascii="Bookman Old Style" w:hAnsi="Bookman Old Style" w:cs="Arial"/>
          <w:bCs/>
          <w:sz w:val="20"/>
        </w:rPr>
        <w:t xml:space="preserve"> više u odnosu na isto razdoblje 2024. godine.</w:t>
      </w:r>
    </w:p>
    <w:p w:rsidR="002F1574" w:rsidRPr="002F1574" w:rsidRDefault="002F1574" w:rsidP="002F1574">
      <w:pPr>
        <w:pStyle w:val="Naslov4"/>
        <w:numPr>
          <w:ilvl w:val="0"/>
          <w:numId w:val="15"/>
        </w:numPr>
        <w:jc w:val="both"/>
        <w:rPr>
          <w:rFonts w:ascii="Bookman Old Style" w:hAnsi="Bookman Old Style" w:cs="Arial"/>
          <w:b w:val="0"/>
          <w:sz w:val="20"/>
        </w:rPr>
      </w:pPr>
      <w:r w:rsidRPr="002F1574">
        <w:rPr>
          <w:rFonts w:ascii="Bookman Old Style" w:hAnsi="Bookman Old Style" w:cs="Arial"/>
          <w:sz w:val="20"/>
        </w:rPr>
        <w:t>Vlastiti prihodi (32)</w:t>
      </w:r>
    </w:p>
    <w:p w:rsidR="002F1574" w:rsidRPr="002F1574" w:rsidRDefault="002F1574" w:rsidP="002F1574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2F1574">
        <w:rPr>
          <w:rFonts w:ascii="Bookman Old Style" w:hAnsi="Bookman Old Style" w:cs="Arial"/>
          <w:bCs/>
          <w:sz w:val="20"/>
        </w:rPr>
        <w:t xml:space="preserve">Ostvareni su u iznosu od </w:t>
      </w:r>
      <w:r w:rsidRPr="002F1574">
        <w:rPr>
          <w:rFonts w:ascii="Bookman Old Style" w:hAnsi="Bookman Old Style" w:cs="Arial"/>
          <w:sz w:val="20"/>
        </w:rPr>
        <w:t>723.175,88 EUR</w:t>
      </w:r>
      <w:r w:rsidRPr="002F1574">
        <w:rPr>
          <w:rFonts w:ascii="Bookman Old Style" w:hAnsi="Bookman Old Style" w:cs="Arial"/>
          <w:bCs/>
          <w:sz w:val="20"/>
        </w:rPr>
        <w:t xml:space="preserve">, što predstavlja </w:t>
      </w:r>
      <w:r w:rsidRPr="002F1574">
        <w:rPr>
          <w:rFonts w:ascii="Bookman Old Style" w:hAnsi="Bookman Old Style" w:cs="Arial"/>
          <w:sz w:val="20"/>
        </w:rPr>
        <w:t>26,34 %</w:t>
      </w:r>
      <w:r w:rsidRPr="002F1574">
        <w:rPr>
          <w:rFonts w:ascii="Bookman Old Style" w:hAnsi="Bookman Old Style" w:cs="Arial"/>
          <w:bCs/>
          <w:sz w:val="20"/>
        </w:rPr>
        <w:t xml:space="preserve"> plana. U odnosu na prethodnu godinu, bilježe pad od 10,11 %. Prihodi uključuju naplatu usluga iz djelatnosti Zavoda (laboratorijske analize, mikrobiološke usluge, sanitarni pregledi i dr.), a slabija realizacija rezultat je </w:t>
      </w:r>
      <w:proofErr w:type="spellStart"/>
      <w:r w:rsidRPr="002F1574">
        <w:rPr>
          <w:rFonts w:ascii="Bookman Old Style" w:hAnsi="Bookman Old Style" w:cs="Arial"/>
          <w:bCs/>
          <w:sz w:val="20"/>
        </w:rPr>
        <w:t>sezonalnosti</w:t>
      </w:r>
      <w:proofErr w:type="spellEnd"/>
      <w:r w:rsidRPr="002F1574">
        <w:rPr>
          <w:rFonts w:ascii="Bookman Old Style" w:hAnsi="Bookman Old Style" w:cs="Arial"/>
          <w:bCs/>
          <w:sz w:val="20"/>
        </w:rPr>
        <w:t xml:space="preserve"> i vremenskog pomaka kod većih naloga koji se očekuju u drugom polugodištu.</w:t>
      </w:r>
    </w:p>
    <w:p w:rsidR="002F1574" w:rsidRPr="002F1574" w:rsidRDefault="002F1574" w:rsidP="002F1574">
      <w:pPr>
        <w:pStyle w:val="Naslov4"/>
        <w:numPr>
          <w:ilvl w:val="0"/>
          <w:numId w:val="15"/>
        </w:numPr>
        <w:jc w:val="both"/>
        <w:rPr>
          <w:rFonts w:ascii="Bookman Old Style" w:hAnsi="Bookman Old Style" w:cs="Arial"/>
          <w:b w:val="0"/>
          <w:sz w:val="20"/>
        </w:rPr>
      </w:pPr>
      <w:r w:rsidRPr="002F1574">
        <w:rPr>
          <w:rFonts w:ascii="Bookman Old Style" w:hAnsi="Bookman Old Style" w:cs="Arial"/>
          <w:sz w:val="20"/>
        </w:rPr>
        <w:lastRenderedPageBreak/>
        <w:t>Prihodi za posebne namjene (43)</w:t>
      </w:r>
    </w:p>
    <w:p w:rsidR="002F1574" w:rsidRPr="002F1574" w:rsidRDefault="002F1574" w:rsidP="002F1574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2F1574">
        <w:rPr>
          <w:rFonts w:ascii="Bookman Old Style" w:hAnsi="Bookman Old Style" w:cs="Arial"/>
          <w:bCs/>
          <w:sz w:val="20"/>
        </w:rPr>
        <w:t xml:space="preserve">Ukupno su ostvareni u iznosu od </w:t>
      </w:r>
      <w:r w:rsidRPr="002F1574">
        <w:rPr>
          <w:rFonts w:ascii="Bookman Old Style" w:hAnsi="Bookman Old Style" w:cs="Arial"/>
          <w:sz w:val="20"/>
        </w:rPr>
        <w:t>1.374.134,84 EUR</w:t>
      </w:r>
      <w:r w:rsidRPr="002F1574">
        <w:rPr>
          <w:rFonts w:ascii="Bookman Old Style" w:hAnsi="Bookman Old Style" w:cs="Arial"/>
          <w:bCs/>
          <w:sz w:val="20"/>
        </w:rPr>
        <w:t xml:space="preserve"> (54,64 % plana), što predstavlja rast od 16,58 % u odnosu na prethodnu godinu. Najveći dio čine sredstva iz ugovora s Hrvatskim zavodom za zdravstveno osiguranje temeljem redovnog ugovora i posebnih programa.</w:t>
      </w:r>
    </w:p>
    <w:p w:rsidR="002F1574" w:rsidRPr="002F1574" w:rsidRDefault="002F1574" w:rsidP="002F1574">
      <w:pPr>
        <w:pStyle w:val="Naslov4"/>
        <w:numPr>
          <w:ilvl w:val="0"/>
          <w:numId w:val="15"/>
        </w:numPr>
        <w:jc w:val="both"/>
        <w:rPr>
          <w:rFonts w:ascii="Bookman Old Style" w:hAnsi="Bookman Old Style" w:cs="Arial"/>
          <w:b w:val="0"/>
          <w:sz w:val="20"/>
        </w:rPr>
      </w:pPr>
      <w:r w:rsidRPr="002F1574">
        <w:rPr>
          <w:rFonts w:ascii="Bookman Old Style" w:hAnsi="Bookman Old Style" w:cs="Arial"/>
          <w:sz w:val="20"/>
        </w:rPr>
        <w:t>Decentralizirana sredstva (44)</w:t>
      </w:r>
    </w:p>
    <w:p w:rsidR="002F1574" w:rsidRPr="002F1574" w:rsidRDefault="002F1574" w:rsidP="002F1574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2F1574">
        <w:rPr>
          <w:rFonts w:ascii="Bookman Old Style" w:hAnsi="Bookman Old Style" w:cs="Arial"/>
          <w:bCs/>
          <w:sz w:val="20"/>
        </w:rPr>
        <w:t xml:space="preserve">Ostvarena su u iznosu od </w:t>
      </w:r>
      <w:r w:rsidRPr="002F1574">
        <w:rPr>
          <w:rFonts w:ascii="Bookman Old Style" w:hAnsi="Bookman Old Style" w:cs="Arial"/>
          <w:sz w:val="20"/>
        </w:rPr>
        <w:t>16.251,42 EUR</w:t>
      </w:r>
      <w:r w:rsidRPr="002F1574">
        <w:rPr>
          <w:rFonts w:ascii="Bookman Old Style" w:hAnsi="Bookman Old Style" w:cs="Arial"/>
          <w:bCs/>
          <w:sz w:val="20"/>
        </w:rPr>
        <w:t>, št</w:t>
      </w:r>
      <w:bookmarkStart w:id="0" w:name="_GoBack"/>
      <w:bookmarkEnd w:id="0"/>
      <w:r w:rsidRPr="002F1574">
        <w:rPr>
          <w:rFonts w:ascii="Bookman Old Style" w:hAnsi="Bookman Old Style" w:cs="Arial"/>
          <w:bCs/>
          <w:sz w:val="20"/>
        </w:rPr>
        <w:t xml:space="preserve">o predstavlja </w:t>
      </w:r>
      <w:r w:rsidRPr="002F1574">
        <w:rPr>
          <w:rFonts w:ascii="Bookman Old Style" w:hAnsi="Bookman Old Style" w:cs="Arial"/>
          <w:sz w:val="20"/>
        </w:rPr>
        <w:t>462,43 %</w:t>
      </w:r>
      <w:r w:rsidRPr="002F1574">
        <w:rPr>
          <w:rFonts w:ascii="Bookman Old Style" w:hAnsi="Bookman Old Style" w:cs="Arial"/>
          <w:bCs/>
          <w:sz w:val="20"/>
        </w:rPr>
        <w:t xml:space="preserve"> godišnjeg plana, budući da su sredstva isplaćena ranije nego prethodnih godina, čime se omogućilo ranije pokrivanje dijela troškova.</w:t>
      </w:r>
    </w:p>
    <w:p w:rsidR="002F1574" w:rsidRPr="002F1574" w:rsidRDefault="005471C3" w:rsidP="00ED26CF">
      <w:pPr>
        <w:pStyle w:val="Naslov4"/>
        <w:numPr>
          <w:ilvl w:val="0"/>
          <w:numId w:val="15"/>
        </w:numPr>
        <w:jc w:val="both"/>
        <w:rPr>
          <w:rFonts w:ascii="Bookman Old Style" w:hAnsi="Bookman Old Style" w:cs="Arial"/>
          <w:b w:val="0"/>
          <w:sz w:val="20"/>
        </w:rPr>
      </w:pPr>
      <w:r>
        <w:rPr>
          <w:rFonts w:ascii="Bookman Old Style" w:hAnsi="Bookman Old Style" w:cs="Arial"/>
          <w:sz w:val="20"/>
        </w:rPr>
        <w:t>Pomoći/Fondovi EU (59</w:t>
      </w:r>
      <w:r w:rsidR="002F1574" w:rsidRPr="002F1574">
        <w:rPr>
          <w:rFonts w:ascii="Bookman Old Style" w:hAnsi="Bookman Old Style" w:cs="Arial"/>
          <w:sz w:val="20"/>
        </w:rPr>
        <w:t>)</w:t>
      </w:r>
    </w:p>
    <w:p w:rsidR="002F1574" w:rsidRPr="002F1574" w:rsidRDefault="002F1574" w:rsidP="00ED26CF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2F1574">
        <w:rPr>
          <w:rFonts w:ascii="Bookman Old Style" w:hAnsi="Bookman Old Style" w:cs="Arial"/>
          <w:bCs/>
          <w:sz w:val="20"/>
        </w:rPr>
        <w:t xml:space="preserve">Ostvareno je </w:t>
      </w:r>
      <w:r w:rsidR="005471C3">
        <w:rPr>
          <w:rFonts w:ascii="Bookman Old Style" w:hAnsi="Bookman Old Style" w:cs="Arial"/>
          <w:sz w:val="20"/>
        </w:rPr>
        <w:t>19.640,39</w:t>
      </w:r>
      <w:r w:rsidRPr="002F1574">
        <w:rPr>
          <w:rFonts w:ascii="Bookman Old Style" w:hAnsi="Bookman Old Style" w:cs="Arial"/>
          <w:sz w:val="20"/>
        </w:rPr>
        <w:t xml:space="preserve"> EUR</w:t>
      </w:r>
      <w:r w:rsidR="005471C3">
        <w:rPr>
          <w:rFonts w:ascii="Bookman Old Style" w:hAnsi="Bookman Old Style" w:cs="Arial"/>
          <w:bCs/>
          <w:sz w:val="20"/>
        </w:rPr>
        <w:t xml:space="preserve"> r</w:t>
      </w:r>
      <w:r w:rsidRPr="002F1574">
        <w:rPr>
          <w:rFonts w:ascii="Bookman Old Style" w:hAnsi="Bookman Old Style" w:cs="Arial"/>
          <w:bCs/>
          <w:sz w:val="20"/>
        </w:rPr>
        <w:t>iječ je o pomoćima iz specifičnih izvora za provedbu projekata javnog zdravstva.</w:t>
      </w:r>
    </w:p>
    <w:p w:rsidR="002F1574" w:rsidRPr="002F1574" w:rsidRDefault="002F1574" w:rsidP="00ED26CF">
      <w:pPr>
        <w:pStyle w:val="Naslov4"/>
        <w:numPr>
          <w:ilvl w:val="0"/>
          <w:numId w:val="15"/>
        </w:numPr>
        <w:jc w:val="both"/>
        <w:rPr>
          <w:rFonts w:ascii="Bookman Old Style" w:hAnsi="Bookman Old Style" w:cs="Arial"/>
          <w:b w:val="0"/>
          <w:sz w:val="20"/>
        </w:rPr>
      </w:pPr>
      <w:r w:rsidRPr="002F1574">
        <w:rPr>
          <w:rFonts w:ascii="Bookman Old Style" w:hAnsi="Bookman Old Style" w:cs="Arial"/>
          <w:sz w:val="20"/>
        </w:rPr>
        <w:t>Prihodi od prodaje nefinancijske imovine (72)</w:t>
      </w:r>
    </w:p>
    <w:p w:rsidR="002F1574" w:rsidRDefault="002F1574" w:rsidP="00ED26CF">
      <w:pPr>
        <w:pStyle w:val="StandardWeb"/>
        <w:jc w:val="both"/>
        <w:rPr>
          <w:rFonts w:ascii="Bookman Old Style" w:hAnsi="Bookman Old Style" w:cs="Arial"/>
          <w:bCs/>
          <w:sz w:val="20"/>
        </w:rPr>
      </w:pPr>
      <w:r w:rsidRPr="002F1574">
        <w:rPr>
          <w:rFonts w:ascii="Bookman Old Style" w:hAnsi="Bookman Old Style" w:cs="Arial"/>
          <w:bCs/>
          <w:sz w:val="20"/>
        </w:rPr>
        <w:t xml:space="preserve">U ovom razdoblju ostvareni su u iznosu od </w:t>
      </w:r>
      <w:r w:rsidRPr="002F1574">
        <w:rPr>
          <w:rFonts w:ascii="Bookman Old Style" w:hAnsi="Bookman Old Style" w:cs="Arial"/>
          <w:sz w:val="20"/>
        </w:rPr>
        <w:t>13.159,57 EUR</w:t>
      </w:r>
      <w:r w:rsidRPr="002F1574">
        <w:rPr>
          <w:rFonts w:ascii="Bookman Old Style" w:hAnsi="Bookman Old Style" w:cs="Arial"/>
          <w:bCs/>
          <w:sz w:val="20"/>
        </w:rPr>
        <w:t xml:space="preserve">, što je </w:t>
      </w:r>
      <w:r w:rsidRPr="002F1574">
        <w:rPr>
          <w:rFonts w:ascii="Bookman Old Style" w:hAnsi="Bookman Old Style" w:cs="Arial"/>
          <w:sz w:val="20"/>
        </w:rPr>
        <w:t>526,38 %</w:t>
      </w:r>
      <w:r w:rsidRPr="002F1574">
        <w:rPr>
          <w:rFonts w:ascii="Bookman Old Style" w:hAnsi="Bookman Old Style" w:cs="Arial"/>
          <w:bCs/>
          <w:sz w:val="20"/>
        </w:rPr>
        <w:t xml:space="preserve"> više u odnosu na godišnji plan, a odnosi se na jednokratnu prodaju dugotrajne imovine i naplatu štete po osnovi osiguranja.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Ukupni rashodi u izvještajnom razdoblju iznose 2.591.136,86 EUR, što predstavlja 46,86 % godišnjeg plana te 19,52 % više u odnosu na isto razdoblje prethodne godine.</w:t>
      </w:r>
    </w:p>
    <w:p w:rsidR="00ED26CF" w:rsidRPr="00ED26CF" w:rsidRDefault="005471C3" w:rsidP="00ED26C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</w:pPr>
      <w:r w:rsidRPr="00ED26CF"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  <w:t>Vlastiti prihodi (32)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Ostvareni su u iznosu od </w:t>
      </w:r>
      <w:r w:rsidRP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723.175,88 EUR</w:t>
      </w: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, što je </w:t>
      </w:r>
      <w:r w:rsidRP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26,34 % godišnjeg plana</w:t>
      </w: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 i </w:t>
      </w:r>
      <w:r w:rsidRP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85,79 % u odnosu na prethodnu godinu</w:t>
      </w: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. Ovi prihodi korišteni su za financiranje rashoda vezanih uz materijalne troškove, energente, usluge i ostale stavke poslovanja Zavoda.</w:t>
      </w:r>
    </w:p>
    <w:p w:rsidR="00ED26CF" w:rsidRPr="00ED26CF" w:rsidRDefault="005471C3" w:rsidP="00ED26C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</w:pPr>
      <w:r w:rsidRPr="00ED26CF"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  <w:t>Prihodi za posebne namjene (43)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U iznosu od </w:t>
      </w:r>
      <w:r w:rsidRP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1.</w:t>
      </w:r>
      <w:r w:rsid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803.867,06</w:t>
      </w:r>
      <w:r w:rsidRP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 EUR</w:t>
      </w: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, odnosno </w:t>
      </w:r>
      <w:r w:rsid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71,78</w:t>
      </w:r>
      <w:r w:rsidRPr="00ED26CF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 xml:space="preserve"> % godišnjeg plana</w:t>
      </w: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. Riječ je o prihodima temeljenima na ugovorima s HZZO-om, koji se koriste za provedbu ugovornih obveza, uključujući preventivne programe i dijagnostičko-laboratorijske usluge.</w:t>
      </w:r>
    </w:p>
    <w:p w:rsidR="00ED26CF" w:rsidRPr="00ED26CF" w:rsidRDefault="005471C3" w:rsidP="00ED26C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</w:pPr>
      <w:r w:rsidRPr="00ED26CF"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  <w:t>Decentralizirana sredstva (44)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Ukupno ostvarena u iznosu od 16.251,42 EUR, što je 58,04 % godišnjeg plana, a čime su rashodi pokriveni u skladu s predviđenom namjenom za troškove redovitog poslovanja.</w:t>
      </w:r>
    </w:p>
    <w:p w:rsidR="00ED26CF" w:rsidRPr="00ED26CF" w:rsidRDefault="005471C3" w:rsidP="00ED26C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</w:pPr>
      <w:r w:rsidRPr="00ED26CF"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  <w:t>Ostale pomoći (58)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Ostvarene u iznosu od 20.093,88 EUR, što predstavlja 16,47 % godišnjeg plana, ali čak 867,42 % u odnosu na prethodnu godinu. Odnose se na dodatno ugovorena sredstva za jačanje kapaciteta laboratorija i infrastrukture.</w:t>
      </w:r>
    </w:p>
    <w:p w:rsidR="00ED26CF" w:rsidRPr="00ED26CF" w:rsidRDefault="005471C3" w:rsidP="00ED26C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</w:pPr>
      <w:r w:rsidRPr="00ED26CF"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  <w:t>Pomoći/Fondovi EU (59)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Ostvareni prihodi iznose 19.640,39 EUR, a nisu bili planirani u početku godine, što dodatno povećava ukupnu razinu ostvarenih prihoda iz pomoći.</w:t>
      </w:r>
    </w:p>
    <w:p w:rsidR="00ED26CF" w:rsidRPr="00ED26CF" w:rsidRDefault="005471C3" w:rsidP="00ED26C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</w:pPr>
      <w:r w:rsidRPr="00ED26CF">
        <w:rPr>
          <w:rFonts w:ascii="Bookman Old Style" w:eastAsia="Times New Roman" w:hAnsi="Bookman Old Style" w:cs="Arial"/>
          <w:b/>
          <w:bCs/>
          <w:sz w:val="20"/>
          <w:szCs w:val="24"/>
          <w:lang w:eastAsia="hr-HR"/>
        </w:rPr>
        <w:t>Prihodi od prodaje nefinancijske imovine (72)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lastRenderedPageBreak/>
        <w:t>Evidentirani su u iznosu od 13.159,57 EUR, što čini 526,38 % u odnosu na plan, a odnose se na rashode povezane s prodajom i likvidacijom dotrajale imovine.</w:t>
      </w:r>
    </w:p>
    <w:p w:rsidR="005471C3" w:rsidRPr="005471C3" w:rsidRDefault="005471C3" w:rsidP="00ED26CF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Cs/>
          <w:sz w:val="20"/>
          <w:szCs w:val="24"/>
          <w:lang w:eastAsia="hr-HR"/>
        </w:rPr>
      </w:pPr>
      <w:r w:rsidRPr="005471C3">
        <w:rPr>
          <w:rFonts w:ascii="Bookman Old Style" w:eastAsia="Times New Roman" w:hAnsi="Bookman Old Style" w:cs="Arial"/>
          <w:bCs/>
          <w:sz w:val="20"/>
          <w:szCs w:val="24"/>
          <w:lang w:eastAsia="hr-HR"/>
        </w:rPr>
        <w:t>U izvještajnom razdoblju zabilježen je manjak prihoda nad rashodima u iznosu od 449.826,93 EUR. Uzimajući u obzir preneseni višak prihoda iz prethodnih godina u iznosu od 1.538,37 EUR, ukupan manjak za pokriće u narednim razdobljima iznosi 448.288,56 EUR.</w:t>
      </w:r>
    </w:p>
    <w:p w:rsidR="002F1574" w:rsidRPr="002F1574" w:rsidRDefault="002F1574" w:rsidP="002F1574">
      <w:pPr>
        <w:pStyle w:val="StandardWeb"/>
        <w:jc w:val="both"/>
        <w:rPr>
          <w:rFonts w:ascii="Bookman Old Style" w:hAnsi="Bookman Old Style" w:cs="Arial"/>
          <w:bCs/>
          <w:sz w:val="20"/>
        </w:rPr>
      </w:pPr>
    </w:p>
    <w:p w:rsidR="002F1574" w:rsidRDefault="002F1574" w:rsidP="002F1574">
      <w:pPr>
        <w:pStyle w:val="StandardWeb"/>
        <w:ind w:left="5664"/>
        <w:jc w:val="both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 xml:space="preserve"> </w:t>
      </w:r>
      <w:r w:rsidR="005D204D">
        <w:rPr>
          <w:rFonts w:ascii="Bookman Old Style" w:hAnsi="Bookman Old Style" w:cs="Arial"/>
          <w:b/>
          <w:bCs/>
          <w:sz w:val="20"/>
        </w:rPr>
        <w:t xml:space="preserve">   </w:t>
      </w:r>
      <w:r>
        <w:rPr>
          <w:rFonts w:ascii="Bookman Old Style" w:hAnsi="Bookman Old Style" w:cs="Arial"/>
          <w:b/>
          <w:bCs/>
          <w:sz w:val="20"/>
        </w:rPr>
        <w:t xml:space="preserve"> </w:t>
      </w:r>
      <w:r w:rsidRPr="002F1574">
        <w:rPr>
          <w:rFonts w:ascii="Bookman Old Style" w:hAnsi="Bookman Old Style" w:cs="Arial"/>
          <w:b/>
          <w:bCs/>
          <w:sz w:val="20"/>
        </w:rPr>
        <w:t>Ra</w:t>
      </w:r>
      <w:r>
        <w:rPr>
          <w:rFonts w:ascii="Bookman Old Style" w:hAnsi="Bookman Old Style" w:cs="Arial"/>
          <w:b/>
          <w:bCs/>
          <w:sz w:val="20"/>
        </w:rPr>
        <w:t>vnateljica</w:t>
      </w:r>
    </w:p>
    <w:p w:rsidR="002F1574" w:rsidRDefault="002F1574" w:rsidP="002F1574">
      <w:pPr>
        <w:pStyle w:val="StandardWeb"/>
        <w:ind w:left="5664"/>
        <w:jc w:val="both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 xml:space="preserve">Jele </w:t>
      </w:r>
      <w:proofErr w:type="spellStart"/>
      <w:r>
        <w:rPr>
          <w:rFonts w:ascii="Bookman Old Style" w:hAnsi="Bookman Old Style" w:cs="Arial"/>
          <w:b/>
          <w:bCs/>
          <w:sz w:val="20"/>
        </w:rPr>
        <w:t>Škrabić</w:t>
      </w:r>
      <w:proofErr w:type="spellEnd"/>
      <w:r>
        <w:rPr>
          <w:rFonts w:ascii="Bookman Old Style" w:hAnsi="Bookman Old Style" w:cs="Arial"/>
          <w:b/>
          <w:bCs/>
          <w:sz w:val="20"/>
        </w:rPr>
        <w:t>, dipl. iur.</w:t>
      </w:r>
    </w:p>
    <w:p w:rsidR="005D204D" w:rsidRDefault="005D204D" w:rsidP="002F1574">
      <w:pPr>
        <w:pStyle w:val="StandardWeb"/>
        <w:ind w:left="5664"/>
        <w:jc w:val="both"/>
        <w:rPr>
          <w:rFonts w:ascii="Bookman Old Style" w:hAnsi="Bookman Old Style" w:cs="Arial"/>
          <w:b/>
          <w:bCs/>
          <w:sz w:val="20"/>
        </w:rPr>
      </w:pPr>
    </w:p>
    <w:p w:rsidR="005D204D" w:rsidRDefault="005D204D" w:rsidP="002F1574">
      <w:pPr>
        <w:pStyle w:val="StandardWeb"/>
        <w:ind w:left="5664"/>
        <w:jc w:val="both"/>
        <w:rPr>
          <w:rFonts w:ascii="Bookman Old Style" w:hAnsi="Bookman Old Style" w:cs="Arial"/>
          <w:b/>
          <w:bCs/>
          <w:sz w:val="20"/>
        </w:rPr>
      </w:pPr>
    </w:p>
    <w:p w:rsidR="005D204D" w:rsidRDefault="005D204D" w:rsidP="002F1574">
      <w:pPr>
        <w:pStyle w:val="StandardWeb"/>
        <w:ind w:left="5664"/>
        <w:jc w:val="both"/>
        <w:rPr>
          <w:rFonts w:ascii="Bookman Old Style" w:hAnsi="Bookman Old Style" w:cs="Arial"/>
          <w:b/>
          <w:bCs/>
          <w:sz w:val="20"/>
        </w:rPr>
      </w:pPr>
    </w:p>
    <w:p w:rsidR="005D204D" w:rsidRDefault="005D204D" w:rsidP="002F1574">
      <w:pPr>
        <w:pStyle w:val="StandardWeb"/>
        <w:ind w:left="5664"/>
        <w:jc w:val="both"/>
        <w:rPr>
          <w:rFonts w:ascii="Bookman Old Style" w:hAnsi="Bookman Old Style" w:cs="Arial"/>
          <w:b/>
          <w:bCs/>
          <w:sz w:val="20"/>
        </w:rPr>
      </w:pPr>
    </w:p>
    <w:p w:rsidR="005D204D" w:rsidRPr="002F1574" w:rsidRDefault="005D204D" w:rsidP="005D204D">
      <w:pPr>
        <w:pStyle w:val="StandardWeb"/>
        <w:jc w:val="both"/>
        <w:rPr>
          <w:rFonts w:ascii="Bookman Old Style" w:hAnsi="Bookman Old Style" w:cs="Arial"/>
          <w:b/>
          <w:bCs/>
          <w:sz w:val="20"/>
        </w:rPr>
      </w:pPr>
    </w:p>
    <w:sectPr w:rsidR="005D204D" w:rsidRPr="002F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DE0"/>
    <w:multiLevelType w:val="hybridMultilevel"/>
    <w:tmpl w:val="5E961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6B9F"/>
    <w:multiLevelType w:val="hybridMultilevel"/>
    <w:tmpl w:val="2194A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7C0"/>
    <w:multiLevelType w:val="multilevel"/>
    <w:tmpl w:val="53B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74354"/>
    <w:multiLevelType w:val="multilevel"/>
    <w:tmpl w:val="52D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27AFF"/>
    <w:multiLevelType w:val="hybridMultilevel"/>
    <w:tmpl w:val="D5804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14C9"/>
    <w:multiLevelType w:val="multilevel"/>
    <w:tmpl w:val="33A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7139F"/>
    <w:multiLevelType w:val="multilevel"/>
    <w:tmpl w:val="02D2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14890"/>
    <w:multiLevelType w:val="multilevel"/>
    <w:tmpl w:val="F448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252C8"/>
    <w:multiLevelType w:val="hybridMultilevel"/>
    <w:tmpl w:val="5A722F2C"/>
    <w:lvl w:ilvl="0" w:tplc="12468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003C7"/>
    <w:multiLevelType w:val="hybridMultilevel"/>
    <w:tmpl w:val="360A8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55AEA"/>
    <w:multiLevelType w:val="multilevel"/>
    <w:tmpl w:val="3CE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B084A"/>
    <w:multiLevelType w:val="hybridMultilevel"/>
    <w:tmpl w:val="393E5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E3E3F"/>
    <w:multiLevelType w:val="hybridMultilevel"/>
    <w:tmpl w:val="521EC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00E1D"/>
    <w:multiLevelType w:val="hybridMultilevel"/>
    <w:tmpl w:val="D7F0AFC6"/>
    <w:lvl w:ilvl="0" w:tplc="49AA87C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F47DA"/>
    <w:multiLevelType w:val="multilevel"/>
    <w:tmpl w:val="675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AA4B4D"/>
    <w:multiLevelType w:val="hybridMultilevel"/>
    <w:tmpl w:val="89E6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84C70"/>
    <w:multiLevelType w:val="hybridMultilevel"/>
    <w:tmpl w:val="536CB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978FA"/>
    <w:multiLevelType w:val="hybridMultilevel"/>
    <w:tmpl w:val="7AA8E424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2ED0BC1"/>
    <w:multiLevelType w:val="multilevel"/>
    <w:tmpl w:val="2B9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F21CB"/>
    <w:multiLevelType w:val="multilevel"/>
    <w:tmpl w:val="675C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17045C"/>
    <w:multiLevelType w:val="multilevel"/>
    <w:tmpl w:val="F46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AD5E11"/>
    <w:multiLevelType w:val="hybridMultilevel"/>
    <w:tmpl w:val="E9CCF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650EA"/>
    <w:multiLevelType w:val="hybridMultilevel"/>
    <w:tmpl w:val="BE8EF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C48B6"/>
    <w:multiLevelType w:val="multilevel"/>
    <w:tmpl w:val="60E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A60309"/>
    <w:multiLevelType w:val="multilevel"/>
    <w:tmpl w:val="4CD8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D1546F"/>
    <w:multiLevelType w:val="multilevel"/>
    <w:tmpl w:val="C97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567B86"/>
    <w:multiLevelType w:val="hybridMultilevel"/>
    <w:tmpl w:val="13E6D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22678"/>
    <w:multiLevelType w:val="multilevel"/>
    <w:tmpl w:val="12D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313535"/>
    <w:multiLevelType w:val="multilevel"/>
    <w:tmpl w:val="D5A4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EC5B2B"/>
    <w:multiLevelType w:val="multilevel"/>
    <w:tmpl w:val="B45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28"/>
  </w:num>
  <w:num w:numId="4">
    <w:abstractNumId w:val="16"/>
  </w:num>
  <w:num w:numId="5">
    <w:abstractNumId w:val="3"/>
  </w:num>
  <w:num w:numId="6">
    <w:abstractNumId w:val="6"/>
  </w:num>
  <w:num w:numId="7">
    <w:abstractNumId w:val="27"/>
  </w:num>
  <w:num w:numId="8">
    <w:abstractNumId w:val="20"/>
  </w:num>
  <w:num w:numId="9">
    <w:abstractNumId w:val="22"/>
  </w:num>
  <w:num w:numId="10">
    <w:abstractNumId w:val="4"/>
  </w:num>
  <w:num w:numId="11">
    <w:abstractNumId w:val="26"/>
  </w:num>
  <w:num w:numId="12">
    <w:abstractNumId w:val="9"/>
  </w:num>
  <w:num w:numId="13">
    <w:abstractNumId w:val="11"/>
  </w:num>
  <w:num w:numId="14">
    <w:abstractNumId w:val="17"/>
  </w:num>
  <w:num w:numId="15">
    <w:abstractNumId w:val="0"/>
  </w:num>
  <w:num w:numId="16">
    <w:abstractNumId w:val="14"/>
  </w:num>
  <w:num w:numId="17">
    <w:abstractNumId w:val="2"/>
  </w:num>
  <w:num w:numId="18">
    <w:abstractNumId w:val="24"/>
  </w:num>
  <w:num w:numId="19">
    <w:abstractNumId w:val="7"/>
  </w:num>
  <w:num w:numId="20">
    <w:abstractNumId w:val="18"/>
  </w:num>
  <w:num w:numId="21">
    <w:abstractNumId w:val="23"/>
  </w:num>
  <w:num w:numId="22">
    <w:abstractNumId w:val="12"/>
  </w:num>
  <w:num w:numId="23">
    <w:abstractNumId w:val="5"/>
  </w:num>
  <w:num w:numId="24">
    <w:abstractNumId w:val="25"/>
  </w:num>
  <w:num w:numId="25">
    <w:abstractNumId w:val="10"/>
  </w:num>
  <w:num w:numId="26">
    <w:abstractNumId w:val="19"/>
  </w:num>
  <w:num w:numId="27">
    <w:abstractNumId w:val="1"/>
  </w:num>
  <w:num w:numId="28">
    <w:abstractNumId w:val="29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73"/>
    <w:rsid w:val="000C074D"/>
    <w:rsid w:val="001E6400"/>
    <w:rsid w:val="002A00D0"/>
    <w:rsid w:val="002F1574"/>
    <w:rsid w:val="00381EC7"/>
    <w:rsid w:val="005471C3"/>
    <w:rsid w:val="005D204D"/>
    <w:rsid w:val="005D2505"/>
    <w:rsid w:val="005D59A9"/>
    <w:rsid w:val="005E2AAD"/>
    <w:rsid w:val="006233C1"/>
    <w:rsid w:val="006350D0"/>
    <w:rsid w:val="00692E38"/>
    <w:rsid w:val="006B7654"/>
    <w:rsid w:val="008147B6"/>
    <w:rsid w:val="00B610BB"/>
    <w:rsid w:val="00BB672D"/>
    <w:rsid w:val="00D35E73"/>
    <w:rsid w:val="00ED26CF"/>
    <w:rsid w:val="00F16EF7"/>
    <w:rsid w:val="00F54E00"/>
    <w:rsid w:val="00F6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B6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link w:val="Naslov4Char"/>
    <w:uiPriority w:val="9"/>
    <w:qFormat/>
    <w:rsid w:val="00BB6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E7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3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35E73"/>
    <w:rPr>
      <w:b/>
      <w:bCs/>
    </w:rPr>
  </w:style>
  <w:style w:type="paragraph" w:styleId="Odlomakpopisa">
    <w:name w:val="List Paragraph"/>
    <w:basedOn w:val="Normal"/>
    <w:uiPriority w:val="34"/>
    <w:qFormat/>
    <w:rsid w:val="00381EC7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rsid w:val="00BB672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BB67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2Char">
    <w:name w:val="Naslov 2 Char"/>
    <w:basedOn w:val="Zadanifontodlomka"/>
    <w:link w:val="Naslov2"/>
    <w:uiPriority w:val="9"/>
    <w:rsid w:val="005E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staknuto">
    <w:name w:val="Emphasis"/>
    <w:basedOn w:val="Zadanifontodlomka"/>
    <w:uiPriority w:val="20"/>
    <w:qFormat/>
    <w:rsid w:val="006350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B67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link w:val="Naslov4Char"/>
    <w:uiPriority w:val="9"/>
    <w:qFormat/>
    <w:rsid w:val="00BB6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E7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3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35E73"/>
    <w:rPr>
      <w:b/>
      <w:bCs/>
    </w:rPr>
  </w:style>
  <w:style w:type="paragraph" w:styleId="Odlomakpopisa">
    <w:name w:val="List Paragraph"/>
    <w:basedOn w:val="Normal"/>
    <w:uiPriority w:val="34"/>
    <w:qFormat/>
    <w:rsid w:val="00381EC7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rsid w:val="00BB672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BB67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2Char">
    <w:name w:val="Naslov 2 Char"/>
    <w:basedOn w:val="Zadanifontodlomka"/>
    <w:link w:val="Naslov2"/>
    <w:uiPriority w:val="9"/>
    <w:rsid w:val="005E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staknuto">
    <w:name w:val="Emphasis"/>
    <w:basedOn w:val="Zadanifontodlomka"/>
    <w:uiPriority w:val="20"/>
    <w:qFormat/>
    <w:rsid w:val="006350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cp:lastPrinted>2025-07-28T07:44:00Z</cp:lastPrinted>
  <dcterms:created xsi:type="dcterms:W3CDTF">2025-07-28T09:50:00Z</dcterms:created>
  <dcterms:modified xsi:type="dcterms:W3CDTF">2025-07-28T09:50:00Z</dcterms:modified>
</cp:coreProperties>
</file>